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2AFE5B68" w:rsidR="00F422D3" w:rsidRDefault="007B7555" w:rsidP="00B42F40">
      <w:pPr>
        <w:pStyle w:val="Titul1"/>
      </w:pPr>
      <w:r>
        <w:t>RÁMCOVÁ DOHODA NA PROVEDENÍ STAVEBNÍCH PRACÍ</w:t>
      </w:r>
    </w:p>
    <w:p w14:paraId="2FF71BCE" w14:textId="5BE416B1" w:rsidR="00F422D3" w:rsidRDefault="00F422D3" w:rsidP="00B42F40">
      <w:pPr>
        <w:pStyle w:val="Titul2"/>
      </w:pPr>
      <w:r>
        <w:t xml:space="preserve">Název </w:t>
      </w:r>
      <w:r w:rsidR="007B7555">
        <w:t>dohody</w:t>
      </w:r>
      <w:r>
        <w:t>: „</w:t>
      </w:r>
      <w:r w:rsidR="00993875" w:rsidRPr="00993875">
        <w:t>Běžná a havarijní údržba objektů ve správě OŘ Plzeň 2024-2026</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211D407A" w14:textId="77777777" w:rsidR="006F6ABD" w:rsidRPr="00FB598F" w:rsidRDefault="006F6ABD" w:rsidP="006F6ABD">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Pr>
          <w:rFonts w:asciiTheme="minorHAnsi" w:hAnsiTheme="minorHAnsi"/>
          <w:sz w:val="18"/>
          <w:szCs w:val="18"/>
        </w:rPr>
        <w:tab/>
      </w:r>
      <w:r w:rsidRPr="00FB598F">
        <w:rPr>
          <w:rFonts w:asciiTheme="minorHAnsi" w:eastAsiaTheme="minorHAnsi" w:hAnsiTheme="minorHAnsi" w:cstheme="minorBidi"/>
          <w:sz w:val="18"/>
          <w:szCs w:val="18"/>
          <w:lang w:eastAsia="en-US"/>
        </w:rPr>
        <w:t>Ing. Radkem Makovcem, ředitelem Oblastního ředitelství Plzeň</w:t>
      </w:r>
    </w:p>
    <w:p w14:paraId="7A3F454F" w14:textId="77777777" w:rsidR="006F6ABD" w:rsidRDefault="006F6ABD" w:rsidP="006F6ABD">
      <w:pPr>
        <w:pStyle w:val="Textbezodsazen"/>
        <w:tabs>
          <w:tab w:val="left" w:pos="0"/>
        </w:tabs>
        <w:spacing w:after="0"/>
      </w:pPr>
      <w:r w:rsidRPr="00166C01">
        <w:tab/>
      </w:r>
      <w:r w:rsidRPr="00166C01">
        <w:tab/>
        <w:t>na základě pověření č. 2720 ze dne 27. 5. 2019</w:t>
      </w:r>
    </w:p>
    <w:p w14:paraId="6852E25B" w14:textId="77777777" w:rsidR="006F6ABD" w:rsidRPr="00FB598F" w:rsidRDefault="006F6ABD" w:rsidP="006F6ABD">
      <w:pPr>
        <w:pStyle w:val="Textbezodsazen"/>
        <w:tabs>
          <w:tab w:val="left" w:pos="0"/>
        </w:tabs>
        <w:spacing w:after="0"/>
      </w:pPr>
    </w:p>
    <w:p w14:paraId="4EC2A43C" w14:textId="77777777" w:rsidR="006F6ABD" w:rsidRPr="00753F1B" w:rsidRDefault="006F6ABD" w:rsidP="006F6ABD">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C237036" w14:textId="77777777" w:rsidR="006F6ABD" w:rsidRDefault="006F6ABD" w:rsidP="006F6ABD">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87FA22F" w14:textId="76E38D0D" w:rsidR="006F6ABD" w:rsidRPr="006F6ABD" w:rsidRDefault="006F6ABD" w:rsidP="006F6ABD">
      <w:pPr>
        <w:pStyle w:val="acnormal"/>
        <w:tabs>
          <w:tab w:val="left" w:pos="1701"/>
        </w:tabs>
        <w:spacing w:before="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337DCA27" w14:textId="77777777" w:rsidR="006F6ABD" w:rsidRPr="00D40E43" w:rsidRDefault="006F6ABD" w:rsidP="006F6ABD">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BC11547" w14:textId="77777777" w:rsidR="006F6ABD" w:rsidRDefault="006F6ABD" w:rsidP="006F6ABD">
      <w:pPr>
        <w:pStyle w:val="Textbezodsazen"/>
        <w:spacing w:after="0"/>
      </w:pPr>
      <w:r>
        <w:t>Správa železnic, státní organizace</w:t>
      </w:r>
    </w:p>
    <w:p w14:paraId="395A4033" w14:textId="77777777" w:rsidR="006F6ABD" w:rsidRDefault="006F6ABD" w:rsidP="006F6ABD">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565DC4A9" w14:textId="77777777" w:rsidR="006F6ABD" w:rsidRDefault="006F6ABD" w:rsidP="006F6ABD">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664E62F4" w14:textId="77777777" w:rsidR="006F6ABD" w:rsidRPr="00D40E43" w:rsidRDefault="006F6ABD" w:rsidP="006F6ABD">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6837297E" w14:textId="77777777" w:rsidR="006F6ABD" w:rsidRDefault="006F6ABD" w:rsidP="006F6ABD">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73FB478" w14:textId="77777777" w:rsidR="006F6ABD" w:rsidRDefault="006F6ABD" w:rsidP="006F6ABD">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51FB366F" w14:textId="77777777" w:rsidR="006F6ABD" w:rsidRDefault="006F6ABD" w:rsidP="006F6ABD">
      <w:pPr>
        <w:pStyle w:val="Textbezodsazen"/>
        <w:spacing w:after="0"/>
      </w:pPr>
      <w:r>
        <w:t>Správa železnic, státní organizace</w:t>
      </w:r>
    </w:p>
    <w:p w14:paraId="2D642E2C" w14:textId="77777777" w:rsidR="006F6ABD" w:rsidRPr="00857D29" w:rsidRDefault="006F6ABD" w:rsidP="006F6ABD">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74C0C66" w14:textId="77777777" w:rsidR="006F6ABD" w:rsidRDefault="006F6ABD" w:rsidP="006F6ABD">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3B848AA8" w14:textId="77777777" w:rsidR="006F6ABD" w:rsidRDefault="006F6ABD" w:rsidP="006F6ABD">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66C8348F" w14:textId="77777777" w:rsidR="006F6ABD" w:rsidRDefault="006F6ABD" w:rsidP="006F6ABD">
      <w:pPr>
        <w:spacing w:after="120"/>
      </w:pPr>
      <w:r w:rsidRPr="007821F1">
        <w:rPr>
          <w:rFonts w:ascii="Verdana" w:hAnsi="Verdana" w:cs="Arial"/>
        </w:rPr>
        <w:t xml:space="preserve">E-mail: </w:t>
      </w:r>
      <w:hyperlink r:id="rId12" w:history="1">
        <w:r w:rsidRPr="00D8296B">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5DEFB656" w14:textId="04AD8889" w:rsidR="00B42F40" w:rsidRDefault="00F422D3" w:rsidP="006F6ABD">
      <w:pPr>
        <w:pStyle w:val="Textbezodsazen"/>
      </w:pPr>
      <w:r>
        <w:t>číslo smlouvy: "[</w:t>
      </w:r>
      <w:r w:rsidRPr="00F422D3">
        <w:rPr>
          <w:highlight w:val="green"/>
        </w:rPr>
        <w:t>VLOŽÍ OBJEDNATEL</w:t>
      </w:r>
      <w:r>
        <w:t xml:space="preserve">]" </w:t>
      </w:r>
    </w:p>
    <w:p w14:paraId="4D69F681" w14:textId="6DF81880" w:rsidR="00B42F40" w:rsidRPr="00B42F40" w:rsidRDefault="00F422D3" w:rsidP="00B42F40">
      <w:pPr>
        <w:pStyle w:val="Textbezodsazen"/>
      </w:pPr>
      <w:r w:rsidRPr="00B42F40">
        <w:t>a</w:t>
      </w: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4C66791D" w:rsidR="00F24489" w:rsidRDefault="007B7555" w:rsidP="007B7555">
      <w:pPr>
        <w:pStyle w:val="Textbezodsazen"/>
        <w:rPr>
          <w:b/>
        </w:rPr>
      </w:pPr>
      <w:r w:rsidRPr="00061719">
        <w:t xml:space="preserve">Tato Rámcová dohoda je uzavřena na základě </w:t>
      </w:r>
      <w:r w:rsidRPr="006F6ABD">
        <w:t xml:space="preserve">výsledků </w:t>
      </w:r>
      <w:r w:rsidR="00BE65BB" w:rsidRPr="006F6ABD">
        <w:t>výběrového</w:t>
      </w:r>
      <w:r w:rsidRPr="006F6ABD">
        <w:t xml:space="preserve"> řízení</w:t>
      </w:r>
      <w:r w:rsidRPr="00061719">
        <w:t xml:space="preserve"> na uzavření této Rámcové dohody odpovídající </w:t>
      </w:r>
      <w:r w:rsidRPr="00993875">
        <w:t>podlimitní sektorové veřejné zakázce</w:t>
      </w:r>
      <w:r w:rsidR="00993875">
        <w:t xml:space="preserve"> </w:t>
      </w:r>
      <w:r w:rsidRPr="00061719">
        <w:t>s </w:t>
      </w:r>
      <w:r w:rsidRPr="007B7555">
        <w:t>názvem</w:t>
      </w:r>
      <w:r w:rsidRPr="00061719">
        <w:t xml:space="preserve"> </w:t>
      </w:r>
      <w:r w:rsidR="00993875" w:rsidRPr="00993875">
        <w:t>„Běžná a havarijní údržba objektů ve správě OŘ Plzeň 2024-2026“</w:t>
      </w:r>
      <w:r w:rsidRPr="00993875">
        <w:t>,</w:t>
      </w:r>
      <w:r w:rsidRPr="00061719">
        <w:t xml:space="preserve"> č.j.: </w:t>
      </w:r>
      <w:r w:rsidR="00F649FF" w:rsidRPr="00F649FF">
        <w:t>28256/2023-SŽ-OŘ PLZ-ÚPI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50E61FC4"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uveden </w:t>
      </w:r>
      <w:r w:rsidR="00280DDA">
        <w:rPr>
          <w:rFonts w:ascii="Verdana" w:hAnsi="Verdana" w:cstheme="minorHAnsi"/>
        </w:rPr>
        <w:t>v</w:t>
      </w:r>
      <w:r>
        <w:rPr>
          <w:rFonts w:ascii="Verdana" w:hAnsi="Verdana" w:cstheme="minorHAnsi"/>
        </w:rPr>
        <w:t xml:space="preserve"> přílo</w:t>
      </w:r>
      <w:r w:rsidR="00280DDA">
        <w:rPr>
          <w:rFonts w:ascii="Verdana" w:hAnsi="Verdana" w:cstheme="minorHAnsi"/>
        </w:rPr>
        <w:t>ze</w:t>
      </w:r>
      <w:r>
        <w:rPr>
          <w:rFonts w:ascii="Verdana" w:hAnsi="Verdana" w:cstheme="minorHAnsi"/>
        </w:rPr>
        <w:t xml:space="preserve">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w:t>
      </w:r>
      <w:r w:rsidR="00280DDA">
        <w:rPr>
          <w:rFonts w:ascii="Verdana" w:hAnsi="Verdana" w:cstheme="minorHAnsi"/>
        </w:rPr>
        <w:t xml:space="preserve">2 </w:t>
      </w:r>
      <w:r w:rsidRPr="006F2480">
        <w:rPr>
          <w:rFonts w:ascii="Verdana" w:hAnsi="Verdana" w:cstheme="minorHAnsi"/>
        </w:rPr>
        <w:t xml:space="preserve">této Rámcové dohody, a Zvláštními technickými podmínkami pro zhotovení stavby v příloze č. </w:t>
      </w:r>
      <w:r w:rsidR="00280DDA">
        <w:rPr>
          <w:rFonts w:ascii="Verdana" w:hAnsi="Verdana" w:cstheme="minorHAnsi"/>
        </w:rPr>
        <w:t>4b</w:t>
      </w:r>
      <w:r w:rsidRPr="006F2480">
        <w:rPr>
          <w:rFonts w:ascii="Verdana" w:hAnsi="Verdana" w:cstheme="minorHAnsi"/>
        </w:rPr>
        <w:t xml:space="preserve"> této Rámcové dohody</w:t>
      </w:r>
      <w:r>
        <w:rPr>
          <w:rFonts w:ascii="Verdana" w:hAnsi="Verdana" w:cstheme="minorHAnsi"/>
        </w:rPr>
        <w:t>.</w:t>
      </w:r>
    </w:p>
    <w:p w14:paraId="0A1D29C9" w14:textId="45A07B53" w:rsidR="00EB6C0E" w:rsidRPr="00041D3D" w:rsidRDefault="00EB6C0E" w:rsidP="00041D3D">
      <w:pPr>
        <w:pStyle w:val="Text1-1"/>
      </w:pPr>
      <w:r w:rsidRPr="00041D3D">
        <w:t xml:space="preserve">Předmětem dílčích zakázek bude vždy zhotovení Díla, které bude v rámci obecného vymezení dle předchozího odstavce konkrétně specifikováno v dílčí smlouvě a to prostřednictvím technické specifikace Díla, případě dokumentací pro provedení stavby, a </w:t>
      </w:r>
      <w:r w:rsidRPr="00280DDA">
        <w:t xml:space="preserve">dále Soupisem stavebních prací, dodávek a služeb s výkazem výměr. Objednatel je v Soupisu stavebních prací, dodávek a služeb s výkazem výměr stavebních prací, oprávněn požadovat provedení stavebních prací, dodávek a služeb, které nejsou uvedeny ve Sborníku </w:t>
      </w:r>
      <w:r w:rsidR="00280DDA" w:rsidRPr="00280DDA">
        <w:t xml:space="preserve">ÚRS </w:t>
      </w:r>
      <w:r w:rsidRPr="00280DDA">
        <w:t xml:space="preserve">pouze v případě, že provedení těchto stavebních prací, dodávek a služeb je nezbytné pro dokončení Díla či splnění jeho účelu dle popisu Díla uvedeného v příloze č. </w:t>
      </w:r>
      <w:r w:rsidR="00280DDA" w:rsidRPr="00280DDA">
        <w:t>4b</w:t>
      </w:r>
      <w:r w:rsidRPr="00280DDA">
        <w:t xml:space="preserve"> této Rámcové</w:t>
      </w:r>
      <w:r w:rsidRPr="00041D3D">
        <w:t xml:space="preserve">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42A6C422" w14:textId="26504823" w:rsidR="004B3F4F" w:rsidRDefault="004B3F4F" w:rsidP="00041D3D">
      <w:pPr>
        <w:pStyle w:val="Text1-1"/>
      </w:pPr>
      <w:r w:rsidRPr="00041D3D">
        <w:rPr>
          <w:rFonts w:ascii="Verdana" w:hAnsi="Verdana" w:cstheme="minorHAnsi"/>
        </w:rPr>
        <w:t xml:space="preserve">Postup uzavření dílčí smlouvy je popsán ve Zvláštních technických podmínkách pro zhotovení </w:t>
      </w:r>
      <w:r w:rsidRPr="00280DDA">
        <w:rPr>
          <w:rFonts w:ascii="Verdana" w:hAnsi="Verdana" w:cstheme="minorHAnsi"/>
        </w:rPr>
        <w:t xml:space="preserve">stavby v příloze č. </w:t>
      </w:r>
      <w:r w:rsidR="00280DDA" w:rsidRPr="00280DDA">
        <w:rPr>
          <w:rFonts w:ascii="Verdana" w:hAnsi="Verdana" w:cstheme="minorHAnsi"/>
        </w:rPr>
        <w:t>4b</w:t>
      </w:r>
      <w:r w:rsidRPr="00280DDA">
        <w:rPr>
          <w:rFonts w:ascii="Verdana" w:hAnsi="Verdana" w:cstheme="minorHAnsi"/>
        </w:rPr>
        <w:t xml:space="preserve"> této </w:t>
      </w:r>
      <w:r w:rsidRPr="00041D3D">
        <w:rPr>
          <w:rFonts w:ascii="Verdana" w:hAnsi="Verdana" w:cstheme="minorHAnsi"/>
        </w:rPr>
        <w:t xml:space="preserve">Rámcové dohody. Výzvou k poskytnutí plnění (dále jen „objednávka“) se rozumí schválená cenová nabídka Zhotovitele ze strany </w:t>
      </w:r>
      <w:r w:rsidRPr="00280DDA">
        <w:rPr>
          <w:rFonts w:ascii="Verdana" w:hAnsi="Verdana" w:cstheme="minorHAnsi"/>
        </w:rPr>
        <w:t xml:space="preserve">Objednatele. Osoby pověřené podpisem a uzavřením dílčích smluv jsou uvedeny v příloze č. </w:t>
      </w:r>
      <w:r w:rsidR="00703BB1">
        <w:rPr>
          <w:rFonts w:ascii="Verdana" w:hAnsi="Verdana" w:cstheme="minorHAnsi"/>
        </w:rPr>
        <w:t>5</w:t>
      </w:r>
      <w:r w:rsidRPr="00280DDA">
        <w:rPr>
          <w:rFonts w:ascii="Verdana" w:hAnsi="Verdana" w:cstheme="minorHAnsi"/>
        </w:rPr>
        <w:t xml:space="preserve"> této dohody.</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041D3D">
      <w:pPr>
        <w:pStyle w:val="Odstavec1-1a"/>
        <w:contextualSpacing w:val="0"/>
      </w:pPr>
      <w:r w:rsidRPr="00061719">
        <w:t>označení Smluvních stran,</w:t>
      </w:r>
    </w:p>
    <w:p w14:paraId="0976FB5E" w14:textId="77777777" w:rsidR="00205F09" w:rsidRPr="00061719" w:rsidRDefault="00205F09" w:rsidP="00041D3D">
      <w:pPr>
        <w:pStyle w:val="Odstavec1-1a"/>
        <w:contextualSpacing w:val="0"/>
      </w:pPr>
      <w:r w:rsidRPr="00061719">
        <w:lastRenderedPageBreak/>
        <w:t>číslo této Rámcové dohody,</w:t>
      </w:r>
    </w:p>
    <w:p w14:paraId="3495FAE0" w14:textId="77777777" w:rsidR="00205F09" w:rsidRPr="00061719" w:rsidRDefault="00205F09" w:rsidP="00041D3D">
      <w:pPr>
        <w:pStyle w:val="Odstavec1-1a"/>
        <w:contextualSpacing w:val="0"/>
      </w:pPr>
      <w:r w:rsidRPr="00061719">
        <w:t>číslo objednávky,</w:t>
      </w:r>
    </w:p>
    <w:p w14:paraId="78C61FEA" w14:textId="77777777" w:rsidR="00205F09" w:rsidRPr="00061719" w:rsidRDefault="00205F09" w:rsidP="00041D3D">
      <w:pPr>
        <w:pStyle w:val="Odstavec1-1a"/>
        <w:contextualSpacing w:val="0"/>
      </w:pPr>
      <w:r w:rsidRPr="00061719">
        <w:t>specifikaci požadovaného Díla,</w:t>
      </w:r>
    </w:p>
    <w:p w14:paraId="63C34B38" w14:textId="77777777" w:rsidR="00205F09" w:rsidRPr="00061719" w:rsidRDefault="00205F09" w:rsidP="00041D3D">
      <w:pPr>
        <w:pStyle w:val="Odstavec1-1a"/>
        <w:contextualSpacing w:val="0"/>
      </w:pPr>
      <w:r w:rsidRPr="00061719">
        <w:t>soupis stavebních prací, dodávek a služeb s výkazem výměr,</w:t>
      </w:r>
    </w:p>
    <w:p w14:paraId="56297CE2" w14:textId="0A3E2E2F" w:rsidR="00205F09" w:rsidRDefault="00205F09" w:rsidP="00041D3D">
      <w:pPr>
        <w:pStyle w:val="Odstavec1-1a"/>
        <w:contextualSpacing w:val="0"/>
      </w:pPr>
      <w:r w:rsidRPr="00061719">
        <w:t>kontaktní osobu Objednatele</w:t>
      </w:r>
      <w:r w:rsidR="000D6A65">
        <w:t xml:space="preserve"> a Zhotovitele</w:t>
      </w:r>
      <w:r w:rsidRPr="00061719">
        <w:t>,</w:t>
      </w:r>
    </w:p>
    <w:p w14:paraId="10A8C644" w14:textId="5B3E7589" w:rsidR="00205F09" w:rsidRDefault="00205F09" w:rsidP="00041D3D">
      <w:pPr>
        <w:pStyle w:val="Odstavec1-1a"/>
        <w:contextualSpacing w:val="0"/>
      </w:pPr>
      <w:r w:rsidRPr="00041D3D">
        <w:t xml:space="preserve">přijatou Cenu Díla, která představuje předpokládanou hodnotu dílčí zakázky, určenou na základě výkazu výměr oceněného dle jednotkových cen ve Sborníku </w:t>
      </w:r>
      <w:r w:rsidR="00041D3D" w:rsidRPr="00041D3D">
        <w:t xml:space="preserve">ÚRS </w:t>
      </w:r>
      <w:r w:rsidRPr="00041D3D">
        <w:t xml:space="preserve">násobených koeficientem dle přílohy </w:t>
      </w:r>
      <w:r w:rsidR="00703BB1">
        <w:t>2</w:t>
      </w:r>
      <w:r w:rsidRPr="00041D3D">
        <w:t xml:space="preserve"> této Rámcové dohody,</w:t>
      </w:r>
    </w:p>
    <w:p w14:paraId="2DE006A1" w14:textId="53699035" w:rsidR="00205F09" w:rsidRDefault="00041D3D" w:rsidP="00041D3D">
      <w:pPr>
        <w:pStyle w:val="Odstavec1-1a"/>
        <w:contextualSpacing w:val="0"/>
      </w:pPr>
      <w:r w:rsidRPr="0012174E">
        <w:t>specifikaci verze Sborníku Ú</w:t>
      </w:r>
      <w:r>
        <w:t>RS</w:t>
      </w:r>
      <w:r w:rsidRPr="0012174E">
        <w:t>, podle kterého se určí Cena Díla, a to odkazem na měsíc schválení a data účinnosti Sborníku Ú</w:t>
      </w:r>
      <w:r>
        <w:t>RS</w:t>
      </w:r>
      <w:r w:rsidRPr="0012174E">
        <w:t>,</w:t>
      </w:r>
    </w:p>
    <w:p w14:paraId="35CAE237" w14:textId="77777777" w:rsidR="00205F09" w:rsidRPr="00AC729D" w:rsidRDefault="00205F09" w:rsidP="00041D3D">
      <w:pPr>
        <w:pStyle w:val="Odstavec1-1a"/>
        <w:contextualSpacing w:val="0"/>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041D3D">
      <w:pPr>
        <w:pStyle w:val="Odstavec1-1a"/>
        <w:contextualSpacing w:val="0"/>
      </w:pPr>
      <w:r w:rsidRPr="00061719">
        <w:t>místo realizace Díla</w:t>
      </w:r>
      <w:r>
        <w:t xml:space="preserve"> (Staveniště)</w:t>
      </w:r>
      <w:r w:rsidRPr="00061719">
        <w:t>,</w:t>
      </w:r>
    </w:p>
    <w:p w14:paraId="7D0C51E3" w14:textId="102B32E9" w:rsidR="00205F09" w:rsidRPr="00061719" w:rsidRDefault="00205F09" w:rsidP="00041D3D">
      <w:pPr>
        <w:pStyle w:val="Odstavec1-1a"/>
        <w:contextualSpacing w:val="0"/>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041D3D">
      <w:pPr>
        <w:pStyle w:val="Odstavec1-1a"/>
        <w:contextualSpacing w:val="0"/>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3738AACA" w:rsidR="005B7732" w:rsidRDefault="009A27DA" w:rsidP="005B7732">
      <w:pPr>
        <w:pStyle w:val="Text1-1"/>
      </w:pPr>
      <w:r w:rsidRPr="009A27DA">
        <w:t xml:space="preserve">Nedohodnou-li se smluvní strany jinak, je pro plnění této Rámcové dohody požadován dispečinkový systém, </w:t>
      </w:r>
      <w:r w:rsidRPr="00280DDA">
        <w:t xml:space="preserve">podrobněji specifikovaný v příloze č. </w:t>
      </w:r>
      <w:r w:rsidR="00280DDA" w:rsidRPr="00280DDA">
        <w:t>4b</w:t>
      </w:r>
      <w:r w:rsidRPr="00280DDA">
        <w:t xml:space="preserve"> (ZTP). Zhotovitel je povinen na objednávku Objednatele reagovat prostřednictvím dispečinkového systému ve lhůtách uvedených v příloze č. </w:t>
      </w:r>
      <w:r w:rsidR="00280DDA" w:rsidRPr="00280DDA">
        <w:t>4c</w:t>
      </w:r>
      <w:r w:rsidRPr="00280DDA">
        <w:t xml:space="preserve"> této Rámcové dohody. Písemnou akceptací objednávky je uzavřena mezi Zhotovitelem a Objednatelem dílčí smlouva na plnění dílčí veřejné zakázky, jejíž obsah je dále tvořen dalšími</w:t>
      </w:r>
      <w:r w:rsidRPr="009A27DA">
        <w:t xml:space="preserve"> ustanoveními této Rámcové dohody a jejích příloh.</w:t>
      </w:r>
    </w:p>
    <w:p w14:paraId="6A10D71E" w14:textId="669B57A3" w:rsidR="005B7732" w:rsidRDefault="005B7732" w:rsidP="005B7732">
      <w:pPr>
        <w:pStyle w:val="Text1-1"/>
      </w:pPr>
      <w:r>
        <w:t>Den zahájení stavebních prací (den předání Staveniště)</w:t>
      </w:r>
      <w:r w:rsidRPr="00061719">
        <w:t xml:space="preserve"> </w:t>
      </w:r>
      <w:r>
        <w:t>může následovat nejdříve po nabytí účinnosti dílčí smlouvy na plnění dílčí veřejné zakázky.</w:t>
      </w:r>
    </w:p>
    <w:p w14:paraId="49EF26E5" w14:textId="4F673A80" w:rsidR="005B7732" w:rsidRPr="009A27DA" w:rsidRDefault="005B7732" w:rsidP="005B7732">
      <w:pPr>
        <w:pStyle w:val="Text1-1"/>
      </w:pPr>
      <w:r w:rsidRPr="009A27DA">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9A27DA" w:rsidRPr="009A27DA">
        <w:t>2</w:t>
      </w:r>
      <w:r w:rsidRPr="009A27DA">
        <w:t>. odst. 2 a 5 této dohody, přičemž výzvou k uzavření dílčí smlouvy se rozumí objednávka. Zhotovitel je povinen výzvu k uzavření dílčí smlouvy akceptovat a smlouvu uzavřít ve lhůt</w:t>
      </w:r>
      <w:r w:rsidR="00703BB1">
        <w:t xml:space="preserve">ě dle přílohy č. 4c </w:t>
      </w:r>
      <w:r w:rsidRPr="009A27DA">
        <w:t xml:space="preserve">této </w:t>
      </w:r>
      <w:r w:rsidRPr="00280DDA">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A27DA" w:rsidRPr="00280DDA">
        <w:t>10</w:t>
      </w:r>
      <w:r w:rsidRPr="00280DDA">
        <w:t xml:space="preserve"> % z ceny za plnění budoucí dílčí smlouvy, kterou Zhotovitel v rozporu se svou povinností po výzvě Objednatele neuzavřel. Cena za plnění budoucí dílčí smlouvy se stanoví dle článku</w:t>
      </w:r>
      <w:r w:rsidRPr="009A27DA">
        <w:t xml:space="preserve"> </w:t>
      </w:r>
      <w:r w:rsidR="009A27DA" w:rsidRPr="009A27DA">
        <w:t>4</w:t>
      </w:r>
      <w:r w:rsidRPr="009A27DA">
        <w:t>. odstavce 1 této rámcové dohody. Ustanovení bodu 20.3 obchodních podmínek se uplatní i v tomto případě.</w:t>
      </w:r>
    </w:p>
    <w:p w14:paraId="09633EF6" w14:textId="5BE584BC" w:rsidR="00F24489" w:rsidRPr="009A27DA" w:rsidRDefault="005B7732" w:rsidP="00F24489">
      <w:pPr>
        <w:pStyle w:val="Nadpis1-1"/>
      </w:pPr>
      <w:r w:rsidRPr="009A27DA">
        <w:rPr>
          <w:rFonts w:ascii="Verdana" w:hAnsi="Verdana" w:cstheme="minorHAnsi"/>
        </w:rPr>
        <w:lastRenderedPageBreak/>
        <w:t>DOBA, MÍSTO, ZPŮSOB A LHŮTY PLNĚNÍ</w:t>
      </w:r>
    </w:p>
    <w:p w14:paraId="3D591564" w14:textId="14BE872F" w:rsidR="005B7732" w:rsidRPr="009A27DA" w:rsidRDefault="005B7732" w:rsidP="005B7732">
      <w:pPr>
        <w:pStyle w:val="Text1-1"/>
      </w:pPr>
      <w:r w:rsidRPr="009A27DA">
        <w:rPr>
          <w:rFonts w:eastAsiaTheme="majorEastAsia"/>
          <w:bCs/>
        </w:rPr>
        <w:t>Tato Rámcová dohoda je uzavírána na dobu</w:t>
      </w:r>
      <w:r w:rsidR="009A27DA" w:rsidRPr="009A27DA">
        <w:rPr>
          <w:rFonts w:eastAsiaTheme="majorEastAsia"/>
          <w:bCs/>
        </w:rPr>
        <w:t xml:space="preserve"> </w:t>
      </w:r>
      <w:r w:rsidR="009A27DA" w:rsidRPr="009A27DA">
        <w:rPr>
          <w:rFonts w:eastAsiaTheme="majorEastAsia"/>
          <w:b/>
        </w:rPr>
        <w:t>od 1. 4. 2024 do 31. 3. 2026</w:t>
      </w:r>
      <w:r w:rsidRPr="009A27DA">
        <w:rPr>
          <w:rFonts w:eastAsiaTheme="majorEastAsia"/>
          <w:bCs/>
        </w:rPr>
        <w:t xml:space="preserve">, </w:t>
      </w:r>
      <w:r w:rsidRPr="009A27DA">
        <w:t xml:space="preserve">anebo do doby uzavření dílčí smlouvy, na základě které dojde k objednání Díla dle této Rámcové dohody v částce převyšující </w:t>
      </w:r>
      <w:r w:rsidR="009A27DA" w:rsidRPr="009A27DA">
        <w:rPr>
          <w:b/>
          <w:bCs/>
        </w:rPr>
        <w:t>134 950 000</w:t>
      </w:r>
      <w:r w:rsidRPr="009A27DA">
        <w:rPr>
          <w:b/>
          <w:bCs/>
        </w:rPr>
        <w:t xml:space="preserve"> Kč bez DPH</w:t>
      </w:r>
      <w:r w:rsidRPr="009A27DA">
        <w:t>.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w:t>
      </w:r>
      <w:r w:rsidR="009A27DA" w:rsidRPr="009A27DA">
        <w:t xml:space="preserve"> </w:t>
      </w:r>
      <w:r w:rsidR="009A27DA" w:rsidRPr="009A27DA">
        <w:rPr>
          <w:b/>
          <w:bCs/>
        </w:rPr>
        <w:t>135 000 000</w:t>
      </w:r>
      <w:r w:rsidRPr="009A27DA">
        <w:rPr>
          <w:b/>
          <w:bCs/>
        </w:rPr>
        <w:t xml:space="preserve"> Kč bez DPH</w:t>
      </w:r>
      <w:r w:rsidRPr="009A27DA">
        <w:rPr>
          <w:rFonts w:eastAsiaTheme="majorEastAsia"/>
          <w:bCs/>
        </w:rPr>
        <w:t xml:space="preserve">. </w:t>
      </w:r>
      <w:bookmarkStart w:id="0" w:name="_Hlk150954741"/>
      <w:r w:rsidRPr="009A27DA">
        <w:t xml:space="preserve">Pro účely posouzení aktuální výše částek (limitů) uvedených v tomto odstavci rámcové dohody se použije u dílčích smluv, kde došlo k předání Díla, skutečná Cena Díla dle </w:t>
      </w:r>
      <w:r w:rsidR="00F919C9" w:rsidRPr="009A27DA">
        <w:t>odst. 4.</w:t>
      </w:r>
      <w:r w:rsidR="00976934">
        <w:t>1</w:t>
      </w:r>
      <w:r w:rsidRPr="009A27DA">
        <w:t xml:space="preserve"> této</w:t>
      </w:r>
      <w:r w:rsidR="00F919C9" w:rsidRPr="009A27DA">
        <w:t xml:space="preserve"> Rámcové </w:t>
      </w:r>
      <w:r w:rsidRPr="009A27DA">
        <w:t xml:space="preserve">dohody, a u dílčích smluv, kde k předání Díla nedošlo, přijatá Cena Díla dle </w:t>
      </w:r>
      <w:r w:rsidR="00F919C9" w:rsidRPr="009A27DA">
        <w:t>odst. 4.1 této Rámcové dohody</w:t>
      </w:r>
      <w:r w:rsidRPr="009A27DA">
        <w:t>.</w:t>
      </w:r>
    </w:p>
    <w:bookmarkEnd w:id="0"/>
    <w:p w14:paraId="1D966543" w14:textId="010A89DC" w:rsidR="005B7732" w:rsidRPr="009A27DA" w:rsidRDefault="005B7732" w:rsidP="005B7732">
      <w:pPr>
        <w:pStyle w:val="Text1-1"/>
      </w:pPr>
      <w:r w:rsidRPr="009A27DA">
        <w:t xml:space="preserve">Údaje uvedené v objednávce dle čl. </w:t>
      </w:r>
      <w:r w:rsidR="008108FB" w:rsidRPr="009A27DA">
        <w:t>2.3</w:t>
      </w:r>
      <w:r w:rsidRPr="009A27DA">
        <w:t xml:space="preserve"> písm. </w:t>
      </w:r>
      <w:r w:rsidR="00703BB1">
        <w:t>i</w:t>
      </w:r>
      <w:r w:rsidRPr="009A27DA">
        <w:t xml:space="preserve">) </w:t>
      </w:r>
      <w:r w:rsidR="008108FB" w:rsidRPr="009A27DA">
        <w:t>této Rámcové dohody</w:t>
      </w:r>
      <w:r w:rsidRPr="009A27DA">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12C8B0D8" w:rsidR="005B7732" w:rsidRPr="00221444" w:rsidRDefault="005B7732" w:rsidP="005B7732">
      <w:pPr>
        <w:pStyle w:val="Text1-1"/>
      </w:pPr>
      <w:r w:rsidRPr="00221444">
        <w:t xml:space="preserve">Zhotovitel </w:t>
      </w:r>
      <w:r w:rsidR="001C5D7C" w:rsidRPr="001C5D7C">
        <w:t xml:space="preserve">je povinen vyrozumět určeného zaměstnance Objednatele uvedeného v dílčí smlouvě jako „kontaktní osoba“ o datu a době dokončení a převzetí předmětu Díla (v pracovní dny v </w:t>
      </w:r>
      <w:r w:rsidR="001C5D7C" w:rsidRPr="009A27DA">
        <w:t xml:space="preserve">čase </w:t>
      </w:r>
      <w:r w:rsidR="009A27DA" w:rsidRPr="009A27DA">
        <w:t>8:30</w:t>
      </w:r>
      <w:r w:rsidR="001C5D7C" w:rsidRPr="009A27DA">
        <w:t xml:space="preserve"> – </w:t>
      </w:r>
      <w:r w:rsidR="009A27DA" w:rsidRPr="009A27DA">
        <w:t>13:30</w:t>
      </w:r>
      <w:r w:rsidR="001C5D7C" w:rsidRPr="001C5D7C">
        <w:t xml:space="preserve"> hod.). Převzetí plnění potvrdí Objednatel v Předávacím protokolu, pokud není v konkrétním případě nahrazen Zápisem o předání a převzetí díla nebo zápisem do stavebního deníku. Pověřený zaměstnanec Objednatele uvede své jméno a podpis, v případě zjištěných nedostatků uvede i tuto skutečnost s konkrétním vymezením zjištěných vad předaného plnění</w:t>
      </w:r>
      <w:r w:rsidRPr="00221444">
        <w:t xml:space="preserve">. </w:t>
      </w:r>
    </w:p>
    <w:p w14:paraId="1F6946FB" w14:textId="177F8621" w:rsidR="005B7732" w:rsidRPr="009A27DA" w:rsidRDefault="005B7732" w:rsidP="009A27DA">
      <w:pPr>
        <w:pStyle w:val="Text1-1"/>
      </w:pPr>
      <w:r w:rsidRPr="009A27DA">
        <w:t>Před zahájením prací na realizací dílčí smlouvy si oprávněný zástupce Objednatele a Zhotovitele prokazatelně vymění se Zhotovitelem písemně informace o rizicích a přijatých opatřeních k ochraně před jejich působením.</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20626AD8" w14:textId="2DAA8D4D" w:rsidR="001E0CF1" w:rsidRDefault="001E0CF1" w:rsidP="001E0CF1">
      <w:pPr>
        <w:pStyle w:val="Text1-1"/>
        <w:numPr>
          <w:ilvl w:val="1"/>
          <w:numId w:val="21"/>
        </w:numPr>
      </w:pPr>
      <w:bookmarkStart w:id="1" w:name="_Hlk150954771"/>
      <w:r w:rsidRPr="00E3247C">
        <w:t xml:space="preserve">Cena za plnění dílčí smlouvy (Cena Díla) bude v dílčí smlouvě sjednána jako přijatá Cena Díla, která představuje odhadovanou cenu za provedení Díla určenou na základě násobku nabídkového koeficientu </w:t>
      </w:r>
      <w:r w:rsidRPr="00280DDA">
        <w:t xml:space="preserve">uvedeného v příloze č. </w:t>
      </w:r>
      <w:r w:rsidR="00280DDA" w:rsidRPr="00280DDA">
        <w:t>2</w:t>
      </w:r>
      <w:r w:rsidRPr="00280DDA">
        <w:t xml:space="preserve"> tét</w:t>
      </w:r>
      <w:r w:rsidR="00AE4D56" w:rsidRPr="00280DDA">
        <w:t>o R</w:t>
      </w:r>
      <w:r w:rsidRPr="00280DDA">
        <w:t>ám</w:t>
      </w:r>
      <w:r w:rsidR="00A6146E" w:rsidRPr="00280DDA">
        <w:t>c</w:t>
      </w:r>
      <w:r w:rsidRPr="00280DDA">
        <w:t>ové</w:t>
      </w:r>
      <w:r w:rsidRPr="00E3247C">
        <w:t xml:space="preserve"> dohody a sborníkové ceny </w:t>
      </w:r>
      <w:r>
        <w:t>dle</w:t>
      </w:r>
      <w:r w:rsidRPr="00E3247C">
        <w:t xml:space="preserve"> cenové databáze</w:t>
      </w:r>
      <w:r w:rsidR="00B97513">
        <w:t xml:space="preserve"> ÚRS</w:t>
      </w:r>
      <w:r>
        <w:t>,</w:t>
      </w:r>
      <w:r w:rsidRPr="00E3247C">
        <w:t xml:space="preserve"> v platném vydání ke dni </w:t>
      </w:r>
      <w:r>
        <w:t xml:space="preserve">odeslání objednávky dle </w:t>
      </w:r>
      <w:r w:rsidRPr="00280DDA">
        <w:t xml:space="preserve">článku </w:t>
      </w:r>
      <w:r w:rsidR="00280DDA" w:rsidRPr="00280DDA">
        <w:t>2</w:t>
      </w:r>
      <w:r w:rsidR="00976934">
        <w:t>.</w:t>
      </w:r>
      <w:r w:rsidR="00280DDA">
        <w:t>3</w:t>
      </w:r>
      <w:r w:rsidRPr="00280DDA">
        <w:t xml:space="preserve"> této dohody</w:t>
      </w:r>
      <w:r>
        <w:t xml:space="preserve"> Objednatelem Zhotoviteli,</w:t>
      </w:r>
      <w:r w:rsidRPr="00E3247C">
        <w:t xml:space="preserve"> včetně vedlejších rozpočtových nákladů a specifikovaného materiálu </w:t>
      </w:r>
      <w:r>
        <w:t xml:space="preserve">(v cenách </w:t>
      </w:r>
      <w:r w:rsidRPr="00E3247C">
        <w:t>bez DPH</w:t>
      </w:r>
      <w:r>
        <w:t>)</w:t>
      </w:r>
      <w:r w:rsidRPr="00E3247C">
        <w:t>.</w:t>
      </w:r>
      <w:bookmarkEnd w:id="1"/>
    </w:p>
    <w:p w14:paraId="7AA99332" w14:textId="0F12A4D4" w:rsidR="001E0CF1" w:rsidRDefault="00976934" w:rsidP="001E0CF1">
      <w:pPr>
        <w:pStyle w:val="Text1-1"/>
      </w:pPr>
      <w:bookmarkStart w:id="2" w:name="_Hlk150954794"/>
      <w:r>
        <w:t>Neobsazeno</w:t>
      </w:r>
      <w:bookmarkEnd w:id="2"/>
      <w:r>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BA859E6" w:rsidR="001E0CF1" w:rsidRPr="00D2698C" w:rsidRDefault="001E0CF1" w:rsidP="001E0CF1">
      <w:pPr>
        <w:pStyle w:val="Text1-1"/>
      </w:pPr>
      <w:r w:rsidRPr="00D2698C">
        <w:t>Přijatá Cena Díla bude v průběhu provádění díla upřesňována měřením, na jehož základě bude určena skutečná Cena Díla. Skutečná Cena Díla bude stanovena výpočtem v </w:t>
      </w:r>
      <w:r w:rsidRPr="00BC1574">
        <w:t xml:space="preserve">souladu článku </w:t>
      </w:r>
      <w:r w:rsidR="00BC1574" w:rsidRPr="00BC1574">
        <w:t>4</w:t>
      </w:r>
      <w:r w:rsidRPr="00BC1574">
        <w:t>.</w:t>
      </w:r>
      <w:r w:rsidR="00BC1574" w:rsidRPr="00BC1574">
        <w:t xml:space="preserve"> odst. 1</w:t>
      </w:r>
      <w:r w:rsidRPr="00D2698C">
        <w:t xml:space="preserve">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3DC9051A" w:rsidR="001E0CF1" w:rsidRPr="00D2698C" w:rsidRDefault="001E0CF1" w:rsidP="001E0CF1">
      <w:pPr>
        <w:pStyle w:val="Text1-1"/>
      </w:pPr>
      <w:r w:rsidRPr="00061719">
        <w:t>V případě, že Objednatel v objednávce požaduje provedení stavebních prací, dodávek a služeb, které nejsou uvedeny v</w:t>
      </w:r>
      <w:r w:rsidR="00B97513">
        <w:t> </w:t>
      </w:r>
      <w:r w:rsidR="00BC1574" w:rsidRPr="00E3247C">
        <w:t>cenové databáz</w:t>
      </w:r>
      <w:r w:rsidR="00BC1574">
        <w:t>i ÚRS</w:t>
      </w:r>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 xml:space="preserve">fakturace Díla bude uveden v dílčí smlouvě. V případě, že v dílčí smlouvě není uveden způsob fakturace, řídí se fakturace Obchodními podmínkami. Faktura musí mít náležitosti daňového dokladu a další náležitosti uvedené v dílčí smlouvě či </w:t>
      </w:r>
      <w:r w:rsidRPr="00D9410E">
        <w:lastRenderedPageBreak/>
        <w:t>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582868CB"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3F08E7" w:rsidRDefault="002A086D" w:rsidP="002A086D">
      <w:pPr>
        <w:pStyle w:val="Text1-1"/>
      </w:pPr>
      <w:r w:rsidRPr="00061719">
        <w:t xml:space="preserve">Zhotovitel je povinen realizovat veškerá plnění dílčích smluv uzavřených na základě </w:t>
      </w:r>
      <w:r w:rsidRPr="003F08E7">
        <w:t>této Rámcové dohody na svůj náklad a na své nebezpečí.</w:t>
      </w:r>
    </w:p>
    <w:p w14:paraId="4F539DAC" w14:textId="004B5D96" w:rsidR="002A086D" w:rsidRPr="003F08E7" w:rsidRDefault="002A086D" w:rsidP="002A086D">
      <w:pPr>
        <w:pStyle w:val="Text1-1"/>
      </w:pPr>
      <w:r w:rsidRPr="003F08E7">
        <w:t>Záruční doba je stanovena příslušnými kapitolami TKP staveb státních drah v platném znění</w:t>
      </w:r>
      <w:r w:rsidR="003F08E7" w:rsidRPr="003F08E7">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3F08E7" w:rsidRDefault="002A086D" w:rsidP="002A086D">
      <w:pPr>
        <w:pStyle w:val="Text1-1"/>
      </w:pPr>
      <w:r w:rsidRPr="003F08E7">
        <w:t>Objednatel požaduje, aby byl Zhotovitel vždy při provádění Díla pojištěn následovně:</w:t>
      </w:r>
    </w:p>
    <w:p w14:paraId="29706602" w14:textId="5B87EF7B" w:rsidR="002A086D" w:rsidRPr="003F08E7" w:rsidRDefault="002A086D" w:rsidP="002A086D">
      <w:pPr>
        <w:pStyle w:val="Odstavec1-1a"/>
        <w:numPr>
          <w:ilvl w:val="0"/>
          <w:numId w:val="31"/>
        </w:numPr>
      </w:pPr>
      <w:r w:rsidRPr="003F08E7">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3F08E7" w:rsidRPr="003F08E7">
        <w:rPr>
          <w:b/>
          <w:bCs/>
        </w:rPr>
        <w:t>10 mil.</w:t>
      </w:r>
      <w:r w:rsidRPr="003F08E7">
        <w:rPr>
          <w:b/>
          <w:bCs/>
        </w:rPr>
        <w:t xml:space="preserve"> Kč</w:t>
      </w:r>
      <w:r w:rsidRPr="003F08E7">
        <w:t>,</w:t>
      </w:r>
    </w:p>
    <w:p w14:paraId="4B088363" w14:textId="21D30BA7" w:rsidR="002A086D" w:rsidRPr="002A086D" w:rsidRDefault="002A086D" w:rsidP="00A45795">
      <w:pPr>
        <w:pStyle w:val="Odstavec1-1a"/>
      </w:pPr>
      <w:r w:rsidRPr="003F08E7">
        <w:t xml:space="preserve">Pojištění odpovědnosti za škodu způsobenou Zhotovitelem při výkonu podnikatelské činnosti třetím osobám minimální výší pojistného minimálně </w:t>
      </w:r>
      <w:r w:rsidR="003F08E7" w:rsidRPr="003F08E7">
        <w:rPr>
          <w:b/>
          <w:bCs/>
        </w:rPr>
        <w:t>3</w:t>
      </w:r>
      <w:r w:rsidRPr="003F08E7">
        <w:rPr>
          <w:b/>
          <w:bCs/>
        </w:rPr>
        <w:t xml:space="preserve"> mil. Kč</w:t>
      </w:r>
      <w:r w:rsidRPr="003F08E7">
        <w:t xml:space="preserve"> na jednu pojistnou událost a </w:t>
      </w:r>
      <w:r w:rsidR="003F08E7" w:rsidRPr="003F08E7">
        <w:rPr>
          <w:b/>
          <w:bCs/>
        </w:rPr>
        <w:t>50</w:t>
      </w:r>
      <w:r w:rsidRPr="003F08E7">
        <w:rPr>
          <w:b/>
          <w:bCs/>
        </w:rPr>
        <w:t xml:space="preserve"> mil. Kč</w:t>
      </w:r>
      <w:r w:rsidRPr="003F08E7">
        <w:t xml:space="preserve"> v úhrnu</w:t>
      </w:r>
      <w:r w:rsidRPr="00061719">
        <w:t xml:space="preserve">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lastRenderedPageBreak/>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68322EF6"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717E1754" w:rsidR="00CA64CF" w:rsidRPr="00C317F4" w:rsidRDefault="00CA64CF" w:rsidP="00CA64CF">
      <w:pPr>
        <w:pStyle w:val="Text1-1"/>
      </w:pPr>
      <w:r w:rsidRPr="00C317F4">
        <w:t xml:space="preserve">Ustanovení </w:t>
      </w:r>
      <w:r w:rsidR="00BE2E15" w:rsidRPr="00C317F4">
        <w:t>článku</w:t>
      </w:r>
      <w:r w:rsidRPr="00C317F4">
        <w:t xml:space="preserve"> 9.2 až 9.5, </w:t>
      </w:r>
      <w:r w:rsidR="00BE2E15" w:rsidRPr="00C317F4">
        <w:t xml:space="preserve">článku </w:t>
      </w:r>
      <w:r w:rsidRPr="00C317F4">
        <w:t>9.7 a 10.2.3. Obchodních podmínek, stejně jako související ustanovení týkající se přejímacích zkoušek, se nepoužijí.</w:t>
      </w:r>
    </w:p>
    <w:p w14:paraId="1A28928D" w14:textId="77E097BA" w:rsidR="00CA64CF" w:rsidRPr="00C317F4" w:rsidRDefault="00A6146E" w:rsidP="00A6146E">
      <w:pPr>
        <w:pStyle w:val="Text1-1"/>
      </w:pPr>
      <w:r w:rsidRPr="00C317F4">
        <w:lastRenderedPageBreak/>
        <w:t>Článek</w:t>
      </w:r>
      <w:r w:rsidR="00CA64CF" w:rsidRPr="00C317F4">
        <w:t xml:space="preserve"> 12.2. Obchodních podmínek se mění takto: „Zhotovitel potvrzuje, že je schopen zrealizovat jednotlivé dílčí činnosti </w:t>
      </w:r>
      <w:r w:rsidR="00CA64CF" w:rsidRPr="00301ACA">
        <w:t>uvedené v</w:t>
      </w:r>
      <w:r w:rsidRPr="00301ACA">
        <w:t>e</w:t>
      </w:r>
      <w:r w:rsidR="00CA64CF" w:rsidRPr="00301ACA">
        <w:t> </w:t>
      </w:r>
      <w:r w:rsidRPr="00301ACA">
        <w:t>Sborníku za ceny uvedené ve Sborníku násobené</w:t>
      </w:r>
      <w:r w:rsidRPr="00C317F4">
        <w:t xml:space="preserve"> nabídkovým koeficientem </w:t>
      </w:r>
      <w:r w:rsidRPr="00301ACA">
        <w:t xml:space="preserve">uvedeným v příloze č. </w:t>
      </w:r>
      <w:r w:rsidR="00301ACA" w:rsidRPr="00301ACA">
        <w:t>2</w:t>
      </w:r>
      <w:r w:rsidRPr="00301ACA">
        <w:t xml:space="preserve"> Rámcové dohody.</w:t>
      </w:r>
      <w:r w:rsidR="00CA64CF" w:rsidRPr="00301ACA">
        <w:t>“</w:t>
      </w:r>
      <w:r w:rsidR="00CA64CF" w:rsidRPr="00C317F4">
        <w:t xml:space="preserve"> Ujednání o způsobu určení skutečné Ceny Díla měřením dle této Rámcové dohody tím nejsou dotčena.</w:t>
      </w:r>
    </w:p>
    <w:p w14:paraId="56C73AEC" w14:textId="07BFF311" w:rsidR="00CA64CF" w:rsidRDefault="00A6146E" w:rsidP="00CA64CF">
      <w:pPr>
        <w:pStyle w:val="Text1-1"/>
      </w:pPr>
      <w:r w:rsidRPr="00C317F4">
        <w:t>Článek 1</w:t>
      </w:r>
      <w:r w:rsidR="000018EF" w:rsidRPr="00C317F4">
        <w:t>7</w:t>
      </w:r>
      <w:r w:rsidRPr="00C317F4">
        <w:t>.</w:t>
      </w:r>
      <w:r w:rsidR="000018EF" w:rsidRPr="00C317F4">
        <w:t>10</w:t>
      </w:r>
      <w:r w:rsidRPr="00C317F4">
        <w:t xml:space="preserve"> Obchodních podmínek se mění takto:</w:t>
      </w:r>
      <w:r w:rsidR="000018EF" w:rsidRPr="00C317F4">
        <w:t xml:space="preserve"> „Pro ocenění plnění na základě </w:t>
      </w:r>
      <w:r w:rsidR="000018EF" w:rsidRPr="00301ACA">
        <w:t xml:space="preserve">změnového řízení a víceprací dle předchozího odstavce se přednostně použijí ceny Sborníku násobené nabídkovým koeficientem uvedeným v příloze č. </w:t>
      </w:r>
      <w:r w:rsidR="00301ACA" w:rsidRPr="00301ACA">
        <w:t>2</w:t>
      </w:r>
      <w:r w:rsidR="000018EF" w:rsidRPr="00301ACA">
        <w:t xml:space="preserve"> Rámcové dohody, anebo jednotkové ceny Sborníku co nejvíce odpovídající z hlediska věcného, časového a místa plnění násobené nabídkovým koeficientem uvedeným v příloze č. </w:t>
      </w:r>
      <w:r w:rsidR="00301ACA" w:rsidRPr="00301ACA">
        <w:t>2</w:t>
      </w:r>
      <w:r w:rsidR="000018EF" w:rsidRPr="00301ACA">
        <w:t xml:space="preserve">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w:t>
      </w:r>
      <w:r w:rsidR="000018EF" w:rsidRPr="00C317F4">
        <w:t xml:space="preserve"> přiměřeně zvýšená určená jako obvyklá cena prací, které vyplynou ze změnového řízení nebo z víceprací ve smyslu ust. § 492 a § 2586 odst. 2 občanského zákoníku.“</w:t>
      </w:r>
    </w:p>
    <w:p w14:paraId="357E57DF" w14:textId="77777777" w:rsidR="00C317F4" w:rsidRPr="00561CA6" w:rsidRDefault="00C317F4" w:rsidP="00C317F4">
      <w:pPr>
        <w:pStyle w:val="Text1-1"/>
      </w:pPr>
      <w:r w:rsidRPr="00561CA6">
        <w:t xml:space="preserve">Objednatel má právo od </w:t>
      </w:r>
      <w:r>
        <w:t>r</w:t>
      </w:r>
      <w:r w:rsidRPr="00561CA6">
        <w:t xml:space="preserve">ámcové dohody odstoupit z důvodu podstatného porušení poskytování předmětu </w:t>
      </w:r>
      <w:r>
        <w:t>dílčí smlouvy</w:t>
      </w:r>
      <w:r w:rsidRPr="00561CA6">
        <w:t>.</w:t>
      </w:r>
      <w:r>
        <w:t xml:space="preserve"> </w:t>
      </w:r>
      <w:r w:rsidRPr="00561CA6">
        <w:t xml:space="preserve">Za </w:t>
      </w:r>
      <w:r>
        <w:t xml:space="preserve">takové </w:t>
      </w:r>
      <w:r w:rsidRPr="00561CA6">
        <w:t>se považuje:</w:t>
      </w:r>
    </w:p>
    <w:p w14:paraId="4AFDE10D" w14:textId="7AA98369" w:rsidR="00C317F4" w:rsidRPr="006F2D2B" w:rsidRDefault="00C317F4" w:rsidP="00C317F4">
      <w:pPr>
        <w:pStyle w:val="acnormal"/>
        <w:numPr>
          <w:ilvl w:val="0"/>
          <w:numId w:val="37"/>
        </w:numPr>
        <w:rPr>
          <w:rFonts w:ascii="Verdana" w:hAnsi="Verdana" w:cstheme="minorHAnsi"/>
          <w:sz w:val="18"/>
          <w:szCs w:val="18"/>
        </w:rPr>
      </w:pPr>
      <w:r>
        <w:rPr>
          <w:rFonts w:ascii="Verdana" w:hAnsi="Verdana" w:cstheme="minorHAnsi"/>
          <w:sz w:val="18"/>
          <w:szCs w:val="18"/>
        </w:rPr>
        <w:t xml:space="preserve">Pokud </w:t>
      </w:r>
      <w:r w:rsidR="00B110B4">
        <w:rPr>
          <w:rFonts w:ascii="Verdana" w:hAnsi="Verdana" w:cstheme="minorHAnsi"/>
          <w:sz w:val="18"/>
          <w:szCs w:val="18"/>
        </w:rPr>
        <w:t>Z</w:t>
      </w:r>
      <w:r>
        <w:rPr>
          <w:rFonts w:ascii="Verdana" w:hAnsi="Verdana" w:cstheme="minorHAnsi"/>
          <w:sz w:val="18"/>
          <w:szCs w:val="18"/>
        </w:rPr>
        <w:t xml:space="preserve">hotovitel minimálně 4x za </w:t>
      </w:r>
      <w:r w:rsidR="00F10E63">
        <w:rPr>
          <w:rFonts w:ascii="Verdana" w:hAnsi="Verdana" w:cstheme="minorHAnsi"/>
          <w:sz w:val="18"/>
          <w:szCs w:val="18"/>
        </w:rPr>
        <w:t>dobu trvání této Rámcové dohody</w:t>
      </w:r>
      <w:r>
        <w:rPr>
          <w:rFonts w:ascii="Verdana" w:hAnsi="Verdana" w:cstheme="minorHAnsi"/>
          <w:sz w:val="18"/>
          <w:szCs w:val="18"/>
        </w:rPr>
        <w:t xml:space="preserve"> </w:t>
      </w:r>
      <w:r w:rsidRPr="006F2D2B">
        <w:rPr>
          <w:rFonts w:ascii="Verdana" w:hAnsi="Verdana" w:cstheme="minorHAnsi"/>
          <w:sz w:val="18"/>
          <w:szCs w:val="18"/>
        </w:rPr>
        <w:t xml:space="preserve">nezapočne </w:t>
      </w:r>
      <w:r>
        <w:rPr>
          <w:rFonts w:ascii="Verdana" w:hAnsi="Verdana" w:cstheme="minorHAnsi"/>
          <w:sz w:val="18"/>
          <w:szCs w:val="18"/>
        </w:rPr>
        <w:t xml:space="preserve">s </w:t>
      </w:r>
      <w:r w:rsidRPr="006F2D2B">
        <w:rPr>
          <w:rFonts w:ascii="Verdana" w:hAnsi="Verdana" w:cstheme="minorHAnsi"/>
          <w:sz w:val="18"/>
          <w:szCs w:val="18"/>
        </w:rPr>
        <w:t>poskytování</w:t>
      </w:r>
      <w:r w:rsidR="00CD6156">
        <w:rPr>
          <w:rFonts w:ascii="Verdana" w:hAnsi="Verdana" w:cstheme="minorHAnsi"/>
          <w:sz w:val="18"/>
          <w:szCs w:val="18"/>
        </w:rPr>
        <w:t>m</w:t>
      </w:r>
      <w:r w:rsidRPr="006F2D2B">
        <w:rPr>
          <w:rFonts w:ascii="Verdana" w:hAnsi="Verdana" w:cstheme="minorHAnsi"/>
          <w:sz w:val="18"/>
          <w:szCs w:val="18"/>
        </w:rPr>
        <w:t xml:space="preserve"> předmětu </w:t>
      </w:r>
      <w:r>
        <w:rPr>
          <w:rFonts w:ascii="Verdana" w:hAnsi="Verdana" w:cstheme="minorHAnsi"/>
          <w:sz w:val="18"/>
          <w:szCs w:val="18"/>
        </w:rPr>
        <w:t xml:space="preserve">dílčí smlouvy </w:t>
      </w:r>
      <w:r w:rsidRPr="006F2D2B">
        <w:rPr>
          <w:rFonts w:ascii="Verdana" w:hAnsi="Verdana" w:cstheme="minorHAnsi"/>
          <w:sz w:val="18"/>
          <w:szCs w:val="18"/>
        </w:rPr>
        <w:t>v</w:t>
      </w:r>
      <w:r>
        <w:rPr>
          <w:rFonts w:ascii="Verdana" w:hAnsi="Verdana" w:cstheme="minorHAnsi"/>
          <w:sz w:val="18"/>
          <w:szCs w:val="18"/>
        </w:rPr>
        <w:t>e</w:t>
      </w:r>
      <w:r w:rsidRPr="006F2D2B">
        <w:rPr>
          <w:rFonts w:ascii="Verdana" w:hAnsi="Verdana" w:cstheme="minorHAnsi"/>
          <w:sz w:val="18"/>
          <w:szCs w:val="18"/>
        </w:rPr>
        <w:t xml:space="preserve"> lhůtách stanovených přílohou </w:t>
      </w:r>
      <w:r>
        <w:rPr>
          <w:rFonts w:ascii="Verdana" w:hAnsi="Verdana" w:cstheme="minorHAnsi"/>
          <w:sz w:val="18"/>
          <w:szCs w:val="18"/>
        </w:rPr>
        <w:t xml:space="preserve">č. </w:t>
      </w:r>
      <w:r w:rsidR="00F10E63">
        <w:rPr>
          <w:rFonts w:ascii="Verdana" w:hAnsi="Verdana" w:cstheme="minorHAnsi"/>
          <w:sz w:val="18"/>
          <w:szCs w:val="18"/>
        </w:rPr>
        <w:t>4c</w:t>
      </w:r>
      <w:r w:rsidRPr="006F2D2B">
        <w:rPr>
          <w:rFonts w:ascii="Verdana" w:hAnsi="Verdana" w:cstheme="minorHAnsi"/>
          <w:sz w:val="18"/>
          <w:szCs w:val="18"/>
        </w:rPr>
        <w:t xml:space="preserve"> této </w:t>
      </w:r>
      <w:r w:rsidR="00F10E63">
        <w:rPr>
          <w:rFonts w:ascii="Verdana" w:hAnsi="Verdana" w:cstheme="minorHAnsi"/>
          <w:sz w:val="18"/>
          <w:szCs w:val="18"/>
        </w:rPr>
        <w:t>R</w:t>
      </w:r>
      <w:r w:rsidRPr="006F2D2B">
        <w:rPr>
          <w:rFonts w:ascii="Verdana" w:hAnsi="Verdana" w:cstheme="minorHAnsi"/>
          <w:sz w:val="18"/>
          <w:szCs w:val="18"/>
        </w:rPr>
        <w:t>ámcové dohody ani p</w:t>
      </w:r>
      <w:r>
        <w:rPr>
          <w:rFonts w:ascii="Verdana" w:hAnsi="Verdana" w:cstheme="minorHAnsi"/>
          <w:sz w:val="18"/>
          <w:szCs w:val="18"/>
        </w:rPr>
        <w:t>o</w:t>
      </w:r>
      <w:r w:rsidRPr="006F2D2B">
        <w:rPr>
          <w:rFonts w:ascii="Verdana" w:hAnsi="Verdana" w:cstheme="minorHAnsi"/>
          <w:sz w:val="18"/>
          <w:szCs w:val="18"/>
        </w:rPr>
        <w:t xml:space="preserve"> dodatečné urgenc</w:t>
      </w:r>
      <w:r>
        <w:rPr>
          <w:rFonts w:ascii="Verdana" w:hAnsi="Verdana" w:cstheme="minorHAnsi"/>
          <w:sz w:val="18"/>
          <w:szCs w:val="18"/>
        </w:rPr>
        <w:t>i</w:t>
      </w:r>
      <w:r w:rsidRPr="006F2D2B">
        <w:rPr>
          <w:rFonts w:ascii="Verdana" w:hAnsi="Verdana" w:cstheme="minorHAnsi"/>
          <w:sz w:val="18"/>
          <w:szCs w:val="18"/>
        </w:rPr>
        <w:t xml:space="preserve"> (prostřednictvím dispečinku) ze strany objednatele.</w:t>
      </w:r>
    </w:p>
    <w:p w14:paraId="08AF7DCD" w14:textId="6F4BE702" w:rsidR="00C317F4" w:rsidRPr="006F2D2B" w:rsidRDefault="00C317F4" w:rsidP="00C317F4">
      <w:pPr>
        <w:pStyle w:val="acnormal"/>
        <w:numPr>
          <w:ilvl w:val="0"/>
          <w:numId w:val="37"/>
        </w:numPr>
        <w:rPr>
          <w:rFonts w:ascii="Verdana" w:hAnsi="Verdana" w:cstheme="minorHAnsi"/>
          <w:sz w:val="18"/>
          <w:szCs w:val="18"/>
        </w:rPr>
      </w:pPr>
      <w:r w:rsidRPr="006F2D2B">
        <w:rPr>
          <w:rFonts w:ascii="Verdana" w:hAnsi="Verdana" w:cstheme="minorHAnsi"/>
          <w:sz w:val="18"/>
          <w:szCs w:val="18"/>
        </w:rPr>
        <w:t xml:space="preserve">Pokud </w:t>
      </w:r>
      <w:r w:rsidR="00B110B4">
        <w:rPr>
          <w:rFonts w:ascii="Verdana" w:hAnsi="Verdana" w:cstheme="minorHAnsi"/>
          <w:sz w:val="18"/>
          <w:szCs w:val="18"/>
        </w:rPr>
        <w:t>Z</w:t>
      </w:r>
      <w:r>
        <w:rPr>
          <w:rFonts w:ascii="Verdana" w:hAnsi="Verdana" w:cstheme="minorHAnsi"/>
          <w:sz w:val="18"/>
          <w:szCs w:val="18"/>
        </w:rPr>
        <w:t>hotovitel nepředloží</w:t>
      </w:r>
      <w:r w:rsidRPr="006F2D2B">
        <w:rPr>
          <w:rFonts w:ascii="Verdana" w:hAnsi="Verdana" w:cstheme="minorHAnsi"/>
          <w:sz w:val="18"/>
          <w:szCs w:val="18"/>
        </w:rPr>
        <w:t xml:space="preserve"> nabídk</w:t>
      </w:r>
      <w:r>
        <w:rPr>
          <w:rFonts w:ascii="Verdana" w:hAnsi="Verdana" w:cstheme="minorHAnsi"/>
          <w:sz w:val="18"/>
          <w:szCs w:val="18"/>
        </w:rPr>
        <w:t>u</w:t>
      </w:r>
      <w:r w:rsidRPr="006F2D2B">
        <w:rPr>
          <w:rFonts w:ascii="Verdana" w:hAnsi="Verdana" w:cstheme="minorHAnsi"/>
          <w:sz w:val="18"/>
          <w:szCs w:val="18"/>
        </w:rPr>
        <w:t xml:space="preserve"> dle přílohy č. </w:t>
      </w:r>
      <w:r w:rsidR="00F10E63">
        <w:rPr>
          <w:rFonts w:ascii="Verdana" w:hAnsi="Verdana" w:cstheme="minorHAnsi"/>
          <w:sz w:val="18"/>
          <w:szCs w:val="18"/>
        </w:rPr>
        <w:t>4c</w:t>
      </w:r>
      <w:r>
        <w:rPr>
          <w:rFonts w:ascii="Verdana" w:hAnsi="Verdana" w:cstheme="minorHAnsi"/>
          <w:sz w:val="18"/>
          <w:szCs w:val="18"/>
        </w:rPr>
        <w:t xml:space="preserve"> </w:t>
      </w:r>
      <w:r w:rsidRPr="006F2D2B">
        <w:rPr>
          <w:rFonts w:ascii="Verdana" w:hAnsi="Verdana" w:cstheme="minorHAnsi"/>
          <w:sz w:val="18"/>
          <w:szCs w:val="18"/>
        </w:rPr>
        <w:t>této rámcové dohody v</w:t>
      </w:r>
      <w:r>
        <w:rPr>
          <w:rFonts w:ascii="Verdana" w:hAnsi="Verdana" w:cstheme="minorHAnsi"/>
          <w:sz w:val="18"/>
          <w:szCs w:val="18"/>
        </w:rPr>
        <w:t>e</w:t>
      </w:r>
      <w:r w:rsidRPr="006F2D2B">
        <w:rPr>
          <w:rFonts w:ascii="Verdana" w:hAnsi="Verdana" w:cstheme="minorHAnsi"/>
          <w:sz w:val="18"/>
          <w:szCs w:val="18"/>
        </w:rPr>
        <w:t xml:space="preserve"> lhůtách jí stanovených </w:t>
      </w:r>
      <w:r>
        <w:rPr>
          <w:rFonts w:ascii="Verdana" w:hAnsi="Verdana" w:cstheme="minorHAnsi"/>
          <w:sz w:val="18"/>
          <w:szCs w:val="18"/>
        </w:rPr>
        <w:t>minimálně 4</w:t>
      </w:r>
      <w:r w:rsidRPr="006F2D2B">
        <w:rPr>
          <w:rFonts w:ascii="Verdana" w:hAnsi="Verdana" w:cstheme="minorHAnsi"/>
          <w:sz w:val="18"/>
          <w:szCs w:val="18"/>
        </w:rPr>
        <w:t xml:space="preserve">x </w:t>
      </w:r>
      <w:r w:rsidR="00E123E4">
        <w:rPr>
          <w:rFonts w:ascii="Verdana" w:hAnsi="Verdana" w:cstheme="minorHAnsi"/>
          <w:sz w:val="18"/>
          <w:szCs w:val="18"/>
        </w:rPr>
        <w:t xml:space="preserve">za </w:t>
      </w:r>
      <w:r w:rsidR="00F10E63">
        <w:rPr>
          <w:rFonts w:ascii="Verdana" w:hAnsi="Verdana" w:cstheme="minorHAnsi"/>
          <w:sz w:val="18"/>
          <w:szCs w:val="18"/>
        </w:rPr>
        <w:t>dobu trvání této Rámcové dohody</w:t>
      </w:r>
      <w:r w:rsidRPr="006F2D2B">
        <w:rPr>
          <w:rFonts w:ascii="Verdana" w:hAnsi="Verdana" w:cstheme="minorHAnsi"/>
          <w:sz w:val="18"/>
          <w:szCs w:val="18"/>
        </w:rPr>
        <w:t>.</w:t>
      </w:r>
    </w:p>
    <w:p w14:paraId="4F79DF4A" w14:textId="597EA3E2" w:rsidR="00C317F4" w:rsidRPr="003B4F12" w:rsidRDefault="00C317F4" w:rsidP="00C317F4">
      <w:pPr>
        <w:pStyle w:val="acnormal"/>
        <w:numPr>
          <w:ilvl w:val="0"/>
          <w:numId w:val="37"/>
        </w:numPr>
        <w:spacing w:before="0"/>
        <w:rPr>
          <w:rFonts w:ascii="Verdana" w:hAnsi="Verdana" w:cstheme="minorHAnsi"/>
          <w:sz w:val="18"/>
          <w:szCs w:val="18"/>
        </w:rPr>
      </w:pPr>
      <w:r w:rsidRPr="003B4F12">
        <w:rPr>
          <w:rFonts w:ascii="Verdana" w:hAnsi="Verdana" w:cstheme="minorHAnsi"/>
          <w:sz w:val="18"/>
          <w:szCs w:val="18"/>
        </w:rPr>
        <w:t xml:space="preserve">Pokud </w:t>
      </w:r>
      <w:r w:rsidR="00B110B4">
        <w:rPr>
          <w:rFonts w:ascii="Verdana" w:hAnsi="Verdana" w:cstheme="minorHAnsi"/>
          <w:sz w:val="18"/>
          <w:szCs w:val="18"/>
        </w:rPr>
        <w:t>Z</w:t>
      </w:r>
      <w:r w:rsidRPr="003B4F12">
        <w:rPr>
          <w:rFonts w:ascii="Verdana" w:hAnsi="Verdana" w:cstheme="minorHAnsi"/>
          <w:sz w:val="18"/>
          <w:szCs w:val="18"/>
        </w:rPr>
        <w:t xml:space="preserve">hotovitel neudržuje dispečink v provozu po dobu min. 7 za sebou jdoucích dnů či v součtu 30 dnů za období 12 měsíců anebo nezahájil jeho provozování dle stanovených podmínek do určené lhůty dle </w:t>
      </w:r>
      <w:r w:rsidR="00F10E63">
        <w:rPr>
          <w:rFonts w:ascii="Verdana" w:hAnsi="Verdana" w:cstheme="minorHAnsi"/>
          <w:sz w:val="18"/>
          <w:szCs w:val="18"/>
        </w:rPr>
        <w:t>čl. 4.6.9 přílohy č. 4b</w:t>
      </w:r>
      <w:r w:rsidRPr="003B4F12">
        <w:rPr>
          <w:rFonts w:ascii="Verdana" w:hAnsi="Verdana" w:cstheme="minorHAnsi"/>
          <w:sz w:val="18"/>
          <w:szCs w:val="18"/>
        </w:rPr>
        <w:t xml:space="preserve"> této rámcové dohody, případně v rámci dodatečné </w:t>
      </w:r>
      <w:r w:rsidR="00F10E63" w:rsidRPr="003B4F12">
        <w:rPr>
          <w:rFonts w:ascii="Verdana" w:hAnsi="Verdana" w:cstheme="minorHAnsi"/>
          <w:sz w:val="18"/>
          <w:szCs w:val="18"/>
        </w:rPr>
        <w:t>14</w:t>
      </w:r>
      <w:r w:rsidR="00F10E63">
        <w:rPr>
          <w:rFonts w:ascii="Verdana" w:hAnsi="Verdana" w:cstheme="minorHAnsi"/>
          <w:sz w:val="18"/>
          <w:szCs w:val="18"/>
        </w:rPr>
        <w:t>denní</w:t>
      </w:r>
      <w:r w:rsidRPr="003B4F12">
        <w:rPr>
          <w:rFonts w:ascii="Verdana" w:hAnsi="Verdana" w:cstheme="minorHAnsi"/>
          <w:sz w:val="18"/>
          <w:szCs w:val="18"/>
        </w:rPr>
        <w:t xml:space="preserve"> lhůty poskytnuté ze strany objednatele.</w:t>
      </w:r>
    </w:p>
    <w:p w14:paraId="085F7D74" w14:textId="28411521" w:rsidR="00C317F4" w:rsidRPr="00C317F4" w:rsidRDefault="00C317F4" w:rsidP="00C317F4">
      <w:pPr>
        <w:pStyle w:val="Text1-1"/>
        <w:numPr>
          <w:ilvl w:val="0"/>
          <w:numId w:val="0"/>
        </w:numPr>
        <w:ind w:left="737"/>
      </w:pPr>
      <w:r w:rsidRPr="006D574D">
        <w:rPr>
          <w:rFonts w:ascii="Verdana" w:hAnsi="Verdana" w:cstheme="minorHAnsi"/>
        </w:rPr>
        <w:t xml:space="preserve">Právní účinky </w:t>
      </w:r>
      <w:r>
        <w:rPr>
          <w:rFonts w:ascii="Verdana" w:hAnsi="Verdana" w:cstheme="minorHAnsi"/>
        </w:rPr>
        <w:t xml:space="preserve">odstoupení od smlouvy nastávají dnem doručení písemného oznámení </w:t>
      </w:r>
      <w:r w:rsidR="00B110B4">
        <w:rPr>
          <w:rFonts w:ascii="Verdana" w:hAnsi="Verdana" w:cstheme="minorHAnsi"/>
        </w:rPr>
        <w:t>Zhotoviteli</w:t>
      </w:r>
      <w:r>
        <w:rPr>
          <w:rFonts w:ascii="Verdana" w:hAnsi="Verdana" w:cstheme="minorHAnsi"/>
        </w:rPr>
        <w:t>.</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w:t>
      </w:r>
      <w:r w:rsidRPr="007C25F8">
        <w:lastRenderedPageBreak/>
        <w:t>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lastRenderedPageBreak/>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123B77">
        <w:t>výši 300.000,-Kč. Ustanovení</w:t>
      </w:r>
      <w:r w:rsidRPr="00250487">
        <w:t xml:space="preserve">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6CBC48E9" w14:textId="67300AC2" w:rsidR="00C2296B" w:rsidRPr="00C2296B" w:rsidRDefault="00D65011" w:rsidP="00C2296B">
      <w:pPr>
        <w:pStyle w:val="Text1-1"/>
        <w:rPr>
          <w:rFonts w:ascii="Verdana" w:hAnsi="Verdana" w:cstheme="minorHAnsi"/>
        </w:rPr>
      </w:pPr>
      <w:r w:rsidRPr="00C2296B">
        <w:t xml:space="preserve">Tato </w:t>
      </w:r>
      <w:r w:rsidR="00C2296B" w:rsidRPr="00C2296B">
        <w:rPr>
          <w:rFonts w:ascii="Verdana" w:hAnsi="Verdana" w:cstheme="minorHAnsi"/>
        </w:rPr>
        <w:t xml:space="preserve">dohoda je vyhotovena ve </w:t>
      </w:r>
      <w:r w:rsidR="00C2296B" w:rsidRPr="00C2296B">
        <w:rPr>
          <w:rFonts w:ascii="Verdana" w:hAnsi="Verdana" w:cstheme="minorHAnsi"/>
          <w:highlight w:val="yellow"/>
        </w:rPr>
        <w:t>"[VLOŽÍ ZHOTOVITEL]"</w:t>
      </w:r>
      <w:r w:rsidR="00C2296B" w:rsidRPr="00C2296B">
        <w:rPr>
          <w:rFonts w:ascii="Verdana" w:hAnsi="Verdana" w:cstheme="minorHAnsi"/>
        </w:rPr>
        <w:t xml:space="preserve"> vyhotoveních, z nichž Objednatel obdrží </w:t>
      </w:r>
      <w:r w:rsidR="00C2296B">
        <w:rPr>
          <w:rFonts w:ascii="Verdana" w:hAnsi="Verdana" w:cstheme="minorHAnsi"/>
        </w:rPr>
        <w:t>1</w:t>
      </w:r>
      <w:r w:rsidR="00C2296B" w:rsidRPr="00C2296B">
        <w:rPr>
          <w:rFonts w:ascii="Verdana" w:hAnsi="Verdana" w:cstheme="minorHAnsi"/>
        </w:rPr>
        <w:t xml:space="preserve"> vyhotovení a Zhotovitel obdrží </w:t>
      </w:r>
      <w:r w:rsidR="00C2296B" w:rsidRPr="00C2296B">
        <w:rPr>
          <w:rFonts w:ascii="Verdana" w:hAnsi="Verdana" w:cstheme="minorHAnsi"/>
          <w:highlight w:val="yellow"/>
        </w:rPr>
        <w:t>"[VLOŽÍ ZHOTOVITEL]"</w:t>
      </w:r>
      <w:r w:rsidR="00C2296B" w:rsidRPr="00C2296B">
        <w:rPr>
          <w:rFonts w:ascii="Verdana" w:hAnsi="Verdana" w:cstheme="minorHAnsi"/>
        </w:rPr>
        <w:t xml:space="preserve"> vyhotovení.</w:t>
      </w:r>
    </w:p>
    <w:p w14:paraId="0E45FE8B" w14:textId="77777777" w:rsidR="00C2296B" w:rsidRPr="00C2296B" w:rsidRDefault="00C2296B" w:rsidP="00C2296B">
      <w:pPr>
        <w:pStyle w:val="Text1-1"/>
        <w:numPr>
          <w:ilvl w:val="0"/>
          <w:numId w:val="0"/>
        </w:numPr>
        <w:ind w:left="737"/>
        <w:rPr>
          <w:rFonts w:ascii="Verdana" w:hAnsi="Verdana" w:cstheme="minorHAnsi"/>
          <w:i/>
          <w:iCs/>
          <w:color w:val="00B050"/>
        </w:rPr>
      </w:pPr>
      <w:r w:rsidRPr="00C2296B">
        <w:rPr>
          <w:rFonts w:ascii="Verdana" w:hAnsi="Verdana" w:cstheme="minorHAnsi"/>
          <w:i/>
          <w:iCs/>
          <w:color w:val="00B050"/>
        </w:rPr>
        <w:t>Nebo v případě vyhotovení rámcové dohody v elektronické podobě:</w:t>
      </w:r>
    </w:p>
    <w:p w14:paraId="0FCFC8DA" w14:textId="2E42E38D" w:rsidR="00D65011" w:rsidRPr="00C2296B" w:rsidRDefault="00C2296B" w:rsidP="00C2296B">
      <w:pPr>
        <w:pStyle w:val="Text1-1"/>
        <w:numPr>
          <w:ilvl w:val="0"/>
          <w:numId w:val="0"/>
        </w:numPr>
        <w:ind w:left="737"/>
        <w:rPr>
          <w:highlight w:val="green"/>
        </w:rPr>
      </w:pPr>
      <w:r w:rsidRPr="00C2296B">
        <w:rPr>
          <w:rFonts w:ascii="Verdana" w:hAnsi="Verdana" w:cstheme="minorHAnsi"/>
          <w:highlight w:val="green"/>
        </w:rPr>
        <w:lastRenderedPageBreak/>
        <w:t>Tato dohoda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31CC506B" w14:textId="77777777" w:rsidTr="00DE7E0F">
        <w:trPr>
          <w:jc w:val="center"/>
        </w:trPr>
        <w:tc>
          <w:tcPr>
            <w:tcW w:w="1683" w:type="pct"/>
          </w:tcPr>
          <w:p w14:paraId="5BA846C5" w14:textId="2562D829" w:rsidR="00214C3E" w:rsidRPr="00F97DBD" w:rsidRDefault="00214C3E" w:rsidP="00214C3E">
            <w:pPr>
              <w:pStyle w:val="Textbezslovn"/>
            </w:pPr>
            <w:bookmarkStart w:id="3" w:name="ListAnnex01"/>
            <w:r w:rsidRPr="00DE7E0F">
              <w:rPr>
                <w:rFonts w:cs="Calibri"/>
                <w:noProof/>
              </w:rPr>
              <w:t>Příloha č. 1</w:t>
            </w:r>
            <w:bookmarkEnd w:id="3"/>
            <w:r w:rsidRPr="00F97DBD">
              <w:t>:</w:t>
            </w:r>
          </w:p>
        </w:tc>
        <w:tc>
          <w:tcPr>
            <w:tcW w:w="3317" w:type="pct"/>
          </w:tcPr>
          <w:p w14:paraId="61AFD6B2" w14:textId="0BF957B6" w:rsidR="00214C3E" w:rsidRPr="00F97DBD" w:rsidRDefault="00214C3E" w:rsidP="00214C3E">
            <w:pPr>
              <w:pStyle w:val="Textbezslovn"/>
            </w:pPr>
            <w:r w:rsidRPr="00F97DBD">
              <w:t>Obchodní podmínky</w:t>
            </w:r>
          </w:p>
        </w:tc>
      </w:tr>
      <w:tr w:rsidR="00214C3E" w:rsidRPr="00F97DBD" w14:paraId="1FB975B5" w14:textId="77777777" w:rsidTr="00DE7E0F">
        <w:trPr>
          <w:jc w:val="center"/>
        </w:trPr>
        <w:tc>
          <w:tcPr>
            <w:tcW w:w="1683" w:type="pct"/>
          </w:tcPr>
          <w:p w14:paraId="555CA138" w14:textId="55104025" w:rsidR="00214C3E" w:rsidRPr="00F97DBD" w:rsidRDefault="00DE7E0F" w:rsidP="00214C3E">
            <w:pPr>
              <w:pStyle w:val="Textbezslovn"/>
            </w:pPr>
            <w:r>
              <w:t>Příloha č. 2</w:t>
            </w:r>
            <w:r w:rsidR="00214C3E" w:rsidRPr="00F97DBD">
              <w:t>:</w:t>
            </w:r>
          </w:p>
        </w:tc>
        <w:tc>
          <w:tcPr>
            <w:tcW w:w="3317" w:type="pct"/>
          </w:tcPr>
          <w:p w14:paraId="5DA1B569" w14:textId="59FE440E" w:rsidR="00214C3E" w:rsidRPr="00F97DBD" w:rsidRDefault="000658EE" w:rsidP="000658EE">
            <w:pPr>
              <w:pStyle w:val="Textbezslovn"/>
            </w:pPr>
            <w:r w:rsidRPr="00123B77">
              <w:rPr>
                <w:bCs/>
              </w:rPr>
              <w:t>Nabídkový koeficient</w:t>
            </w:r>
          </w:p>
        </w:tc>
      </w:tr>
      <w:tr w:rsidR="00214C3E" w:rsidRPr="00F97DBD" w14:paraId="0AAD41A9" w14:textId="77777777" w:rsidTr="00DE7E0F">
        <w:trPr>
          <w:jc w:val="center"/>
        </w:trPr>
        <w:tc>
          <w:tcPr>
            <w:tcW w:w="1683" w:type="pct"/>
          </w:tcPr>
          <w:p w14:paraId="28E55E32" w14:textId="08066E4B" w:rsidR="00214C3E" w:rsidRPr="00F97DBD" w:rsidRDefault="00214C3E" w:rsidP="00214C3E">
            <w:pPr>
              <w:pStyle w:val="Textbezslovn"/>
            </w:pPr>
            <w:bookmarkStart w:id="4" w:name="ListAnnex04"/>
            <w:r w:rsidRPr="00DE7E0F">
              <w:rPr>
                <w:rFonts w:cs="Calibri"/>
                <w:noProof/>
              </w:rPr>
              <w:t xml:space="preserve">Příloha č. </w:t>
            </w:r>
            <w:bookmarkEnd w:id="4"/>
            <w:r w:rsidR="00DE7E0F">
              <w:rPr>
                <w:rFonts w:cs="Calibri"/>
                <w:noProof/>
              </w:rPr>
              <w:t>3</w:t>
            </w:r>
            <w:r w:rsidRPr="00F97DBD">
              <w:t>:</w:t>
            </w:r>
          </w:p>
        </w:tc>
        <w:tc>
          <w:tcPr>
            <w:tcW w:w="3317" w:type="pct"/>
          </w:tcPr>
          <w:p w14:paraId="025B7BE9" w14:textId="1D3C0E7B" w:rsidR="00214C3E" w:rsidRPr="00F97DBD" w:rsidRDefault="004420B3" w:rsidP="00214C3E">
            <w:pPr>
              <w:pStyle w:val="Textbezslovn"/>
            </w:pPr>
            <w:r w:rsidRPr="00F97DBD">
              <w:t xml:space="preserve">Seznam </w:t>
            </w:r>
            <w:r>
              <w:t>pod</w:t>
            </w:r>
            <w:r w:rsidRPr="00F97DBD">
              <w:t>dodavatelů</w:t>
            </w:r>
          </w:p>
        </w:tc>
      </w:tr>
      <w:tr w:rsidR="00214C3E" w:rsidRPr="00F97DBD" w14:paraId="7F332280" w14:textId="77777777" w:rsidTr="00DE7E0F">
        <w:trPr>
          <w:jc w:val="center"/>
        </w:trPr>
        <w:tc>
          <w:tcPr>
            <w:tcW w:w="1683" w:type="pct"/>
          </w:tcPr>
          <w:p w14:paraId="33BCA3B9" w14:textId="21B2B9C8" w:rsidR="00214C3E" w:rsidRPr="00F97DBD" w:rsidRDefault="00214C3E" w:rsidP="00214C3E">
            <w:pPr>
              <w:pStyle w:val="Textbezslovn"/>
            </w:pPr>
            <w:bookmarkStart w:id="5" w:name="ListAnnex05"/>
            <w:r w:rsidRPr="00DE7E0F">
              <w:rPr>
                <w:rFonts w:cs="Calibri"/>
                <w:noProof/>
              </w:rPr>
              <w:t xml:space="preserve">Příloha č. </w:t>
            </w:r>
            <w:bookmarkEnd w:id="5"/>
            <w:r w:rsidR="00DE7E0F">
              <w:rPr>
                <w:rFonts w:cs="Calibri"/>
                <w:noProof/>
              </w:rPr>
              <w:t>4</w:t>
            </w:r>
            <w:r w:rsidRPr="00F97DBD">
              <w:t>:</w:t>
            </w:r>
          </w:p>
        </w:tc>
        <w:tc>
          <w:tcPr>
            <w:tcW w:w="3317" w:type="pct"/>
          </w:tcPr>
          <w:p w14:paraId="54ADBB30" w14:textId="77777777" w:rsidR="004420B3" w:rsidRPr="00F97DBD" w:rsidRDefault="004420B3" w:rsidP="00123B77">
            <w:pPr>
              <w:pStyle w:val="Textbezslovn"/>
              <w:jc w:val="left"/>
            </w:pPr>
            <w:r w:rsidRPr="00F97DBD">
              <w:t xml:space="preserve">Technické podmínky: </w:t>
            </w:r>
            <w:r w:rsidRPr="00F97DBD">
              <w:br/>
              <w:t xml:space="preserve">a) Technické kvalitativní podmínky staveb státních drah (TKP Staveb) </w:t>
            </w:r>
          </w:p>
          <w:p w14:paraId="4B4905EA" w14:textId="1E974EF0" w:rsidR="00214C3E" w:rsidRDefault="004420B3" w:rsidP="00DE7E0F">
            <w:pPr>
              <w:pStyle w:val="Odstavec1-1a"/>
              <w:numPr>
                <w:ilvl w:val="0"/>
                <w:numId w:val="38"/>
              </w:numPr>
            </w:pPr>
            <w:r w:rsidRPr="00F97DBD">
              <w:t xml:space="preserve">Zvláštní technické </w:t>
            </w:r>
            <w:r w:rsidRPr="00123B77">
              <w:t>podmínky včetně příloh</w:t>
            </w:r>
          </w:p>
          <w:p w14:paraId="66E1CAEF" w14:textId="77AB3C6C" w:rsidR="00DE7E0F" w:rsidRPr="00F97DBD" w:rsidRDefault="00DE7E0F" w:rsidP="00DE7E0F">
            <w:pPr>
              <w:pStyle w:val="Odstavec1-1a"/>
            </w:pPr>
            <w:r w:rsidRPr="00DE7E0F">
              <w:t>Kategorizace objektů a událostí reakční doby</w:t>
            </w:r>
          </w:p>
        </w:tc>
      </w:tr>
      <w:tr w:rsidR="00214C3E" w:rsidRPr="00F97DBD" w14:paraId="54B7D2F9" w14:textId="77777777" w:rsidTr="00DE7E0F">
        <w:trPr>
          <w:jc w:val="center"/>
        </w:trPr>
        <w:tc>
          <w:tcPr>
            <w:tcW w:w="1683" w:type="pct"/>
          </w:tcPr>
          <w:p w14:paraId="67BF91C4" w14:textId="286EFC3F" w:rsidR="00214C3E" w:rsidRPr="00F97DBD" w:rsidRDefault="00214C3E" w:rsidP="00214C3E">
            <w:pPr>
              <w:pStyle w:val="Textbezslovn"/>
            </w:pPr>
            <w:bookmarkStart w:id="6" w:name="ListAnnex06"/>
            <w:r w:rsidRPr="00DE7E0F">
              <w:rPr>
                <w:rFonts w:cs="Calibri"/>
                <w:noProof/>
              </w:rPr>
              <w:t xml:space="preserve">Příloha č. </w:t>
            </w:r>
            <w:bookmarkEnd w:id="6"/>
            <w:r w:rsidR="00DE7E0F">
              <w:rPr>
                <w:rFonts w:cs="Calibri"/>
                <w:noProof/>
              </w:rPr>
              <w:t>5</w:t>
            </w:r>
            <w:r w:rsidRPr="00F97DBD">
              <w:t>:</w:t>
            </w:r>
          </w:p>
        </w:tc>
        <w:tc>
          <w:tcPr>
            <w:tcW w:w="3317" w:type="pct"/>
          </w:tcPr>
          <w:p w14:paraId="3B48036A" w14:textId="77777777" w:rsidR="00214C3E" w:rsidRPr="00F97DBD" w:rsidRDefault="00214C3E" w:rsidP="00214C3E">
            <w:pPr>
              <w:pStyle w:val="Textbezslovn"/>
            </w:pPr>
            <w:r w:rsidRPr="00F97DBD">
              <w:t>Oprávněné osoby</w:t>
            </w:r>
          </w:p>
        </w:tc>
      </w:tr>
      <w:tr w:rsidR="00214C3E" w:rsidRPr="00F97DBD" w14:paraId="68BF5353" w14:textId="77777777" w:rsidTr="00DE7E0F">
        <w:trPr>
          <w:jc w:val="center"/>
        </w:trPr>
        <w:tc>
          <w:tcPr>
            <w:tcW w:w="1683" w:type="pct"/>
          </w:tcPr>
          <w:p w14:paraId="2B256FA7" w14:textId="43FE086B" w:rsidR="00214C3E" w:rsidRPr="00F97DBD" w:rsidRDefault="00214C3E" w:rsidP="00214C3E">
            <w:pPr>
              <w:pStyle w:val="Textbezslovn"/>
            </w:pPr>
            <w:bookmarkStart w:id="7" w:name="ListAnnex07"/>
            <w:r w:rsidRPr="00DE7E0F">
              <w:rPr>
                <w:rFonts w:cs="Calibri"/>
                <w:noProof/>
              </w:rPr>
              <w:t xml:space="preserve">Příloha č. </w:t>
            </w:r>
            <w:bookmarkEnd w:id="7"/>
            <w:r w:rsidR="00DE7E0F">
              <w:rPr>
                <w:rFonts w:cs="Calibri"/>
                <w:noProof/>
              </w:rPr>
              <w:t>6</w:t>
            </w:r>
            <w:r w:rsidRPr="00F97DBD">
              <w:t>:</w:t>
            </w:r>
          </w:p>
        </w:tc>
        <w:tc>
          <w:tcPr>
            <w:tcW w:w="3317" w:type="pct"/>
          </w:tcPr>
          <w:p w14:paraId="5639214C" w14:textId="0DE19EA1" w:rsidR="00214C3E" w:rsidRPr="00F97DBD" w:rsidRDefault="004420B3" w:rsidP="00214C3E">
            <w:pPr>
              <w:pStyle w:val="Textbezslovn"/>
            </w:pPr>
            <w:r w:rsidRPr="00123B77">
              <w:rPr>
                <w:highlight w:val="yellow"/>
              </w:rPr>
              <w:t>Zmocnění Vedoucího Zhotovitele</w:t>
            </w:r>
          </w:p>
        </w:tc>
      </w:tr>
      <w:tr w:rsidR="00DE7E0F" w:rsidRPr="00F97DBD" w14:paraId="4358057C" w14:textId="77777777" w:rsidTr="00DE7E0F">
        <w:trPr>
          <w:jc w:val="center"/>
        </w:trPr>
        <w:tc>
          <w:tcPr>
            <w:tcW w:w="1683" w:type="pct"/>
          </w:tcPr>
          <w:p w14:paraId="26642043" w14:textId="77777777" w:rsidR="00DE7E0F" w:rsidRPr="00F97DBD" w:rsidRDefault="00DE7E0F" w:rsidP="00214C3E">
            <w:pPr>
              <w:pStyle w:val="Textbezslovn"/>
            </w:pPr>
          </w:p>
        </w:tc>
        <w:tc>
          <w:tcPr>
            <w:tcW w:w="3317" w:type="pct"/>
          </w:tcPr>
          <w:p w14:paraId="6A3661EF" w14:textId="77777777" w:rsidR="00DE7E0F" w:rsidRPr="00123B77" w:rsidRDefault="00DE7E0F" w:rsidP="00214C3E">
            <w:pPr>
              <w:pStyle w:val="Textbezslovn"/>
              <w:rPr>
                <w:highlight w:val="yellow"/>
              </w:rPr>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64A8744D" w14:textId="01B86CF2" w:rsidR="00E463D2" w:rsidRDefault="00E463D2" w:rsidP="00C2296B">
      <w:pPr>
        <w:pStyle w:val="Nadpisbezsl1-2"/>
      </w:pPr>
      <w:r w:rsidRPr="00E463D2">
        <w:t>Obchodní podmínky</w:t>
      </w:r>
    </w:p>
    <w:p w14:paraId="03173D97" w14:textId="77777777" w:rsidR="00C2296B" w:rsidRPr="00B96498" w:rsidRDefault="00C2296B" w:rsidP="00C2296B">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2DA27A09" w14:textId="1DA0331C" w:rsidR="00C2296B" w:rsidRDefault="00C2296B" w:rsidP="00C2296B">
      <w:pPr>
        <w:pStyle w:val="acnormal"/>
        <w:spacing w:before="0" w:after="0"/>
        <w:jc w:val="left"/>
        <w:rPr>
          <w:rFonts w:ascii="Verdana" w:hAnsi="Verdana"/>
          <w:sz w:val="18"/>
          <w:szCs w:val="18"/>
        </w:rPr>
        <w:sectPr w:rsidR="00C2296B" w:rsidSect="00273CE5">
          <w:headerReference w:type="default" r:id="rId20"/>
          <w:footerReference w:type="default" r:id="rId21"/>
          <w:pgSz w:w="11906" w:h="16838"/>
          <w:pgMar w:top="1527" w:right="1417" w:bottom="1417" w:left="1417" w:header="1304" w:footer="283" w:gutter="0"/>
          <w:pgNumType w:start="1"/>
          <w:cols w:space="708"/>
          <w:docGrid w:linePitch="360"/>
        </w:sect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r>
        <w:rPr>
          <w:rFonts w:ascii="Verdana" w:hAnsi="Verdana"/>
          <w:sz w:val="18"/>
          <w:szCs w:val="18"/>
        </w:rPr>
        <w:t>.</w:t>
      </w:r>
    </w:p>
    <w:p w14:paraId="413E7D9A" w14:textId="77777777" w:rsidR="00E463D2" w:rsidRPr="00F97DBD" w:rsidRDefault="00E463D2" w:rsidP="00E463D2">
      <w:pPr>
        <w:pStyle w:val="Nadpisbezsl1-1"/>
      </w:pPr>
      <w:r w:rsidRPr="00F97DBD">
        <w:lastRenderedPageBreak/>
        <w:t>Příloha č. 2</w:t>
      </w:r>
    </w:p>
    <w:p w14:paraId="282D6249" w14:textId="13BEBDC4" w:rsidR="00015D67" w:rsidRPr="00123B77" w:rsidRDefault="00015D67" w:rsidP="00015D67">
      <w:pPr>
        <w:pStyle w:val="Nadpisbezsl1-2"/>
      </w:pPr>
      <w:r w:rsidRPr="00123B77">
        <w:rPr>
          <w:bCs/>
        </w:rPr>
        <w:t>Nabídkový koeficient</w:t>
      </w:r>
    </w:p>
    <w:p w14:paraId="5C759182" w14:textId="77777777" w:rsidR="00015D67" w:rsidRDefault="00015D67" w:rsidP="00015D67">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příloha 3 Dílu 2 Zadávací dokumentace</w:t>
      </w:r>
      <w:r w:rsidRPr="00F95FBD">
        <w:rPr>
          <w:highlight w:val="yellow"/>
        </w:rPr>
        <w:t>]</w:t>
      </w:r>
    </w:p>
    <w:p w14:paraId="2743DD3E" w14:textId="77777777" w:rsidR="00FF6720" w:rsidRDefault="00FF6720" w:rsidP="00015D67">
      <w:pPr>
        <w:pStyle w:val="Textbezodsazen"/>
        <w:rPr>
          <w:highlight w:val="yellow"/>
        </w:rPr>
      </w:pPr>
    </w:p>
    <w:p w14:paraId="226E8AE9" w14:textId="5C684A66" w:rsidR="00FF6720" w:rsidRPr="008D095D" w:rsidRDefault="00FF6720" w:rsidP="00FF6720">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Rámcové dohody bude vložen </w:t>
      </w:r>
      <w:r>
        <w:rPr>
          <w:rFonts w:ascii="Verdana" w:hAnsi="Verdana"/>
          <w:sz w:val="18"/>
          <w:szCs w:val="18"/>
          <w:highlight w:val="green"/>
        </w:rPr>
        <w:t>Nabídkový koeficient</w:t>
      </w:r>
      <w:r w:rsidRPr="008D095D">
        <w:rPr>
          <w:rFonts w:ascii="Verdana" w:hAnsi="Verdana"/>
          <w:sz w:val="18"/>
          <w:szCs w:val="18"/>
          <w:highlight w:val="green"/>
        </w:rPr>
        <w:t xml:space="preserve"> předložený v nabídce účastníka.</w:t>
      </w:r>
    </w:p>
    <w:p w14:paraId="05D3E1B1" w14:textId="77777777" w:rsidR="00FF6720" w:rsidRPr="008D095D" w:rsidRDefault="00FF6720" w:rsidP="00FF6720">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2C85FCFF" w14:textId="7EC9CC0E" w:rsidR="00FF6720" w:rsidRDefault="00FF6720" w:rsidP="00FF6720">
      <w:pPr>
        <w:pStyle w:val="acnormal"/>
        <w:spacing w:before="0" w:after="0"/>
        <w:rPr>
          <w:rFonts w:ascii="Verdana" w:hAnsi="Verdana"/>
          <w:sz w:val="18"/>
          <w:szCs w:val="18"/>
        </w:rPr>
      </w:pPr>
      <w:r>
        <w:rPr>
          <w:rFonts w:ascii="Verdana" w:hAnsi="Verdana"/>
          <w:sz w:val="18"/>
          <w:szCs w:val="18"/>
          <w:highlight w:val="green"/>
        </w:rPr>
        <w:t>Nabídkový koeficient</w:t>
      </w:r>
      <w:r w:rsidRPr="008D095D">
        <w:rPr>
          <w:rFonts w:ascii="Verdana" w:hAnsi="Verdana"/>
          <w:sz w:val="18"/>
          <w:szCs w:val="18"/>
          <w:highlight w:val="green"/>
        </w:rPr>
        <w:t xml:space="preserve"> doložený Zhotovitelem v rámci zadávacího řízení je v souladu s národním standardem pro elektronické systémy spisové služby součástí této Rámcové dohody v podobě samostatné digitální komponenty.</w:t>
      </w:r>
    </w:p>
    <w:p w14:paraId="1AB18BF3" w14:textId="75D0799E" w:rsidR="00FF6720" w:rsidRPr="00015D67" w:rsidRDefault="00FF6720" w:rsidP="00015D67">
      <w:pPr>
        <w:pStyle w:val="Textbezodsazen"/>
        <w:rPr>
          <w:highlight w:val="yellow"/>
        </w:rPr>
        <w:sectPr w:rsidR="00FF6720" w:rsidRPr="00015D67" w:rsidSect="004E70C8">
          <w:footerReference w:type="default" r:id="rId22"/>
          <w:pgSz w:w="11906" w:h="16838" w:code="9"/>
          <w:pgMar w:top="1417" w:right="1417" w:bottom="1417" w:left="1417" w:header="595" w:footer="624" w:gutter="652"/>
          <w:pgNumType w:start="1"/>
          <w:cols w:space="708"/>
          <w:docGrid w:linePitch="360"/>
        </w:sectPr>
      </w:pPr>
    </w:p>
    <w:p w14:paraId="4F63B36F" w14:textId="2EFF1A76" w:rsidR="00E463D2" w:rsidRDefault="00E463D2" w:rsidP="00E463D2">
      <w:pPr>
        <w:pStyle w:val="Nadpisbezsl1-1"/>
      </w:pPr>
      <w:r w:rsidRPr="00F97DBD">
        <w:lastRenderedPageBreak/>
        <w:t xml:space="preserve">Příloha č. </w:t>
      </w:r>
      <w:r w:rsidR="00BC15C4">
        <w:t>3</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682EAC1C" w:rsidR="00ED29F1" w:rsidRDefault="00ED29F1" w:rsidP="00ED29F1">
      <w:pPr>
        <w:pStyle w:val="Nadpisbezsl1-1"/>
      </w:pPr>
      <w:r>
        <w:lastRenderedPageBreak/>
        <w:t>Pří</w:t>
      </w:r>
      <w:r w:rsidR="002C7A28">
        <w:t xml:space="preserve">loha č. </w:t>
      </w:r>
      <w:r w:rsidR="00BC15C4">
        <w:t>4</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FF6720">
      <w:pPr>
        <w:pStyle w:val="Odstavec1-1a"/>
        <w:numPr>
          <w:ilvl w:val="0"/>
          <w:numId w:val="12"/>
        </w:numPr>
        <w:tabs>
          <w:tab w:val="clear" w:pos="1077"/>
        </w:tabs>
        <w:ind w:left="0" w:firstLine="0"/>
        <w:contextualSpacing w:val="0"/>
      </w:pPr>
      <w:r w:rsidRPr="00F97DBD">
        <w:t xml:space="preserve">Technické kvalitativní podmínky staveb státních drah (TKP) </w:t>
      </w:r>
    </w:p>
    <w:p w14:paraId="65235E8C" w14:textId="77777777" w:rsidR="00A45795" w:rsidRDefault="00A45795" w:rsidP="00FF6720">
      <w:pPr>
        <w:pStyle w:val="Textbezslovn"/>
        <w:ind w:left="0"/>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FF6720">
      <w:pPr>
        <w:pStyle w:val="Textbezslovn"/>
        <w:ind w:left="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2D6D840A" w:rsidR="00A45795" w:rsidRDefault="00A45795" w:rsidP="00FF6720">
      <w:pPr>
        <w:pStyle w:val="Odstavec1-1a"/>
        <w:tabs>
          <w:tab w:val="clear" w:pos="1077"/>
        </w:tabs>
        <w:ind w:left="0" w:firstLine="0"/>
        <w:contextualSpacing w:val="0"/>
      </w:pPr>
      <w:r w:rsidRPr="00F97DBD">
        <w:t xml:space="preserve">Zvláštní technické podmínky </w:t>
      </w:r>
    </w:p>
    <w:p w14:paraId="47274530" w14:textId="77777777" w:rsidR="00FF6720" w:rsidRDefault="00FF6720" w:rsidP="00FF6720">
      <w:pPr>
        <w:pStyle w:val="Odstavec1-1a"/>
        <w:numPr>
          <w:ilvl w:val="0"/>
          <w:numId w:val="0"/>
        </w:numPr>
        <w:contextualSpacing w:val="0"/>
      </w:pPr>
      <w:r>
        <w:t>Zvláštní technické podmínky nejsou pevně připojeny k Rámcové dohodě, zhotovitel Zvláštní technické podmínky obdržel společně se zadávací dokumentací prostřednictvím profilu zadavatele https://zakazky.spravazeleznic.cz/.</w:t>
      </w:r>
    </w:p>
    <w:p w14:paraId="5F598EA8" w14:textId="48960F04" w:rsidR="00FF6720" w:rsidRDefault="00FF6720" w:rsidP="00FF6720">
      <w:pPr>
        <w:pStyle w:val="Odstavec1-1a"/>
        <w:numPr>
          <w:ilvl w:val="0"/>
          <w:numId w:val="0"/>
        </w:numPr>
        <w:contextualSpacing w:val="0"/>
      </w:pPr>
      <w:r>
        <w:t>Smluvní strany podpisem této Rámcové dohody stvrzují, že jsou pro ně Zvláštní technické podmínky závazné, že jsou s jejich obsahem plně seznámeny a že v souladu s ust. § 1751 občanského zákoníku tvoří Zvláštní technické podmínky část obsahu Rámcové dohody.</w:t>
      </w:r>
    </w:p>
    <w:p w14:paraId="790114FC" w14:textId="41E87EEF" w:rsidR="00BC15C4" w:rsidRDefault="00BC15C4" w:rsidP="00BC15C4">
      <w:pPr>
        <w:pStyle w:val="Odstavec1-1a"/>
        <w:tabs>
          <w:tab w:val="clear" w:pos="1077"/>
        </w:tabs>
        <w:ind w:left="709" w:hanging="709"/>
        <w:contextualSpacing w:val="0"/>
      </w:pPr>
      <w:r>
        <w:t>Kategorizace objektů a událostí reakční doby</w:t>
      </w:r>
    </w:p>
    <w:p w14:paraId="6DA9CDAD" w14:textId="77777777" w:rsidR="00BC15C4" w:rsidRPr="00B22420" w:rsidRDefault="00BC15C4" w:rsidP="00BC15C4">
      <w:pPr>
        <w:pStyle w:val="acnormal"/>
        <w:spacing w:after="0"/>
        <w:rPr>
          <w:rFonts w:ascii="Verdana" w:hAnsi="Verdana"/>
          <w:sz w:val="18"/>
          <w:szCs w:val="18"/>
          <w:highlight w:val="green"/>
        </w:rPr>
      </w:pPr>
      <w:r w:rsidRPr="00B22420">
        <w:rPr>
          <w:rFonts w:ascii="Verdana" w:hAnsi="Verdana"/>
          <w:sz w:val="18"/>
          <w:szCs w:val="18"/>
          <w:highlight w:val="green"/>
        </w:rPr>
        <w:t xml:space="preserve">Do přílohy Rámcové dohody bude vložena Kategorizace nemovitostí a událostí, kterou zhotovitel obdržel společně se zadávací dokumentací prostřednictvím profilu zadavatele </w:t>
      </w:r>
      <w:hyperlink r:id="rId24" w:history="1">
        <w:r w:rsidRPr="00B22420">
          <w:rPr>
            <w:rStyle w:val="Hypertextovodkaz"/>
            <w:rFonts w:ascii="Verdana" w:hAnsi="Verdana"/>
            <w:sz w:val="18"/>
            <w:szCs w:val="18"/>
            <w:highlight w:val="green"/>
          </w:rPr>
          <w:t>https://zakazky.spravazeleznic.cz/</w:t>
        </w:r>
      </w:hyperlink>
      <w:r w:rsidRPr="00B22420">
        <w:rPr>
          <w:rFonts w:ascii="Verdana" w:hAnsi="Verdana"/>
          <w:sz w:val="18"/>
          <w:szCs w:val="18"/>
          <w:highlight w:val="green"/>
        </w:rPr>
        <w:t>.</w:t>
      </w:r>
    </w:p>
    <w:p w14:paraId="26444695" w14:textId="77777777" w:rsidR="00BC15C4" w:rsidRPr="00B22420" w:rsidRDefault="00BC15C4" w:rsidP="00BC15C4">
      <w:pPr>
        <w:pStyle w:val="acnormal"/>
        <w:spacing w:after="0"/>
        <w:rPr>
          <w:rFonts w:ascii="Verdana" w:hAnsi="Verdana"/>
          <w:sz w:val="18"/>
          <w:szCs w:val="18"/>
          <w:highlight w:val="green"/>
        </w:rPr>
      </w:pPr>
      <w:r w:rsidRPr="00B22420">
        <w:rPr>
          <w:rFonts w:ascii="Verdana" w:hAnsi="Verdana"/>
          <w:sz w:val="18"/>
          <w:szCs w:val="18"/>
          <w:highlight w:val="green"/>
        </w:rPr>
        <w:t>[Varianta pro digitální smlouvy]:</w:t>
      </w:r>
    </w:p>
    <w:p w14:paraId="7F717AD2" w14:textId="12FFEB79" w:rsidR="00BC15C4" w:rsidRPr="00BC15C4" w:rsidRDefault="00BC15C4" w:rsidP="00BC15C4">
      <w:pPr>
        <w:pStyle w:val="acnormal"/>
        <w:rPr>
          <w:rFonts w:ascii="Verdana" w:hAnsi="Verdana"/>
          <w:b/>
        </w:rPr>
      </w:pPr>
      <w:r w:rsidRPr="00B22420">
        <w:rPr>
          <w:rFonts w:ascii="Verdana" w:hAnsi="Verdana"/>
          <w:sz w:val="18"/>
          <w:szCs w:val="18"/>
          <w:highlight w:val="green"/>
        </w:rPr>
        <w:t xml:space="preserve">Kategorizace nemovitostí a událostí, kterou zhotovitel obdržel společně se zadávací dokumentací prostřednictvím profilu zadavatele </w:t>
      </w:r>
      <w:hyperlink r:id="rId25" w:history="1">
        <w:r w:rsidRPr="00B22420">
          <w:rPr>
            <w:rStyle w:val="Hypertextovodkaz"/>
            <w:rFonts w:ascii="Verdana" w:hAnsi="Verdana"/>
            <w:sz w:val="18"/>
            <w:szCs w:val="18"/>
            <w:highlight w:val="green"/>
          </w:rPr>
          <w:t>https://zakazky.spravazeleznic.cz/</w:t>
        </w:r>
      </w:hyperlink>
      <w:r w:rsidRPr="00B22420">
        <w:rPr>
          <w:rFonts w:ascii="Verdana" w:hAnsi="Verdana"/>
          <w:sz w:val="18"/>
          <w:szCs w:val="18"/>
          <w:highlight w:val="green"/>
        </w:rPr>
        <w:t>, je v souladu s národním standardem pro elektronické systémy spisové služby součástí této Rámcové dohody v podobě samostatné digitální komponenty.</w:t>
      </w:r>
    </w:p>
    <w:p w14:paraId="54451455" w14:textId="77777777" w:rsidR="00ED29F1" w:rsidRDefault="00ED29F1" w:rsidP="00F762A8">
      <w:pPr>
        <w:pStyle w:val="Nadpisbezsl1-1"/>
      </w:pPr>
    </w:p>
    <w:p w14:paraId="2234EA14" w14:textId="77777777" w:rsidR="00FF6720" w:rsidRDefault="00FF6720" w:rsidP="00F762A8">
      <w:pPr>
        <w:pStyle w:val="Nadpisbezsl1-1"/>
        <w:sectPr w:rsidR="00FF6720"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3206B8E3" w:rsidR="00502690" w:rsidRDefault="00502690" w:rsidP="003C20AF">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44D4881D"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F6720">
        <w:rPr>
          <w:rFonts w:asciiTheme="minorHAnsi" w:hAnsiTheme="minorHAnsi"/>
          <w:sz w:val="18"/>
          <w:szCs w:val="18"/>
        </w:rPr>
        <w:t xml:space="preserve"> </w:t>
      </w:r>
      <w:r w:rsidR="00FF6720" w:rsidRPr="003C20AF">
        <w:rPr>
          <w:rFonts w:asciiTheme="minorHAnsi" w:hAnsiTheme="minorHAnsi"/>
          <w:b w:val="0"/>
          <w:bCs/>
          <w:sz w:val="18"/>
          <w:szCs w:val="18"/>
        </w:rPr>
        <w:t>(mimo podpisu této rámcové dohody)</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1D690F35" w14:textId="77777777" w:rsidR="003C20AF" w:rsidRPr="00225D51" w:rsidRDefault="003C20AF" w:rsidP="003C20AF">
      <w:pPr>
        <w:pStyle w:val="Nadpistabulky"/>
        <w:rPr>
          <w:rFonts w:ascii="Verdana" w:hAnsi="Verdana"/>
          <w:b w:val="0"/>
          <w:bCs/>
          <w:sz w:val="16"/>
          <w:szCs w:val="16"/>
        </w:rPr>
      </w:pPr>
      <w:r w:rsidRPr="00FA2C88">
        <w:rPr>
          <w:rFonts w:asciiTheme="minorHAnsi" w:hAnsiTheme="minorHAnsi"/>
          <w:sz w:val="18"/>
          <w:szCs w:val="18"/>
        </w:rPr>
        <w:t>Ve věcech</w:t>
      </w:r>
      <w:r>
        <w:rPr>
          <w:rFonts w:asciiTheme="minorHAnsi" w:hAnsiTheme="minorHAnsi"/>
          <w:sz w:val="18"/>
          <w:szCs w:val="18"/>
        </w:rPr>
        <w:t xml:space="preserve"> technických,</w:t>
      </w:r>
      <w:r w:rsidRPr="00FA2C88">
        <w:rPr>
          <w:rFonts w:asciiTheme="minorHAnsi" w:hAnsiTheme="minorHAnsi"/>
          <w:sz w:val="18"/>
          <w:szCs w:val="18"/>
        </w:rPr>
        <w:t xml:space="preserve"> </w:t>
      </w:r>
      <w:r w:rsidRPr="00FA2C88">
        <w:rPr>
          <w:sz w:val="18"/>
          <w:szCs w:val="18"/>
        </w:rPr>
        <w:t>smluvních</w:t>
      </w:r>
      <w:r w:rsidRPr="00FA2C88">
        <w:rPr>
          <w:rFonts w:asciiTheme="minorHAnsi" w:hAnsiTheme="minorHAnsi"/>
          <w:sz w:val="18"/>
          <w:szCs w:val="18"/>
        </w:rPr>
        <w:t xml:space="preserve"> a obchodních </w:t>
      </w:r>
      <w:r w:rsidRPr="00FA2C88">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318EFA4D" w14:textId="77777777" w:rsidR="003C20AF" w:rsidRPr="00F95FBD" w:rsidRDefault="003C20AF" w:rsidP="003C20AF">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realizace</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74B10123" w14:textId="65902FB5" w:rsidR="003C20AF" w:rsidRDefault="003C20AF" w:rsidP="00ED29F1">
      <w:pPr>
        <w:pStyle w:val="Textbezodsazen"/>
      </w:pPr>
      <w:r>
        <w:br w:type="page"/>
      </w: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135E90" w14:textId="77777777" w:rsidR="003D0713" w:rsidRPr="00461E4B" w:rsidRDefault="003D0713" w:rsidP="003D0713">
      <w:pPr>
        <w:pStyle w:val="Textbezodsazen"/>
        <w:rPr>
          <w:rFonts w:ascii="Verdana" w:hAnsi="Verdana"/>
        </w:rPr>
      </w:pPr>
      <w:r w:rsidRPr="00461E4B">
        <w:rPr>
          <w:rFonts w:ascii="Verdana" w:hAnsi="Verdana"/>
          <w:highlight w:val="yellow"/>
        </w:rPr>
        <w:t>[VLOŽÍ ZHOTOVITEL]</w:t>
      </w:r>
    </w:p>
    <w:p w14:paraId="231F6CBE" w14:textId="77777777" w:rsidR="003D0713" w:rsidRPr="00461E4B" w:rsidRDefault="003D0713" w:rsidP="003D0713">
      <w:pPr>
        <w:pStyle w:val="Textbezodsazen"/>
        <w:rPr>
          <w:rFonts w:ascii="Verdana" w:hAnsi="Verdana"/>
        </w:rPr>
      </w:pPr>
      <w:r w:rsidRPr="00461E4B">
        <w:rPr>
          <w:rFonts w:ascii="Verdana" w:hAnsi="Verdana"/>
          <w:highlight w:val="yellow"/>
        </w:rPr>
        <w:t>Do přílohy Smlouvy bude vloženo Zmocnění Vedoucího zhotovitele předložené v nabídce účastníka.</w:t>
      </w:r>
    </w:p>
    <w:p w14:paraId="079B71DE" w14:textId="77777777" w:rsidR="003D0713" w:rsidRPr="00461E4B" w:rsidRDefault="003D0713" w:rsidP="003D0713">
      <w:pPr>
        <w:pStyle w:val="Textbezodsazen"/>
        <w:rPr>
          <w:rFonts w:ascii="Verdana" w:hAnsi="Verdana"/>
          <w:highlight w:val="green"/>
        </w:rPr>
      </w:pPr>
      <w:r w:rsidRPr="00461E4B">
        <w:rPr>
          <w:rFonts w:ascii="Verdana" w:hAnsi="Verdana"/>
          <w:highlight w:val="green"/>
        </w:rPr>
        <w:t>[Varianta pro digitální smlouvy]:</w:t>
      </w:r>
    </w:p>
    <w:p w14:paraId="716C1801" w14:textId="77777777" w:rsidR="003D0713" w:rsidRDefault="003D0713" w:rsidP="003D0713">
      <w:pPr>
        <w:pStyle w:val="acnormal"/>
        <w:rPr>
          <w:rFonts w:ascii="Verdana" w:hAnsi="Verdana"/>
          <w:sz w:val="18"/>
          <w:szCs w:val="18"/>
        </w:rPr>
      </w:pPr>
      <w:r w:rsidRPr="00461E4B">
        <w:rPr>
          <w:rFonts w:ascii="Verdana" w:hAnsi="Verdana"/>
          <w:sz w:val="18"/>
          <w:szCs w:val="18"/>
          <w:highlight w:val="green"/>
        </w:rPr>
        <w:t>Zmocnění Vedoucího zhotovitele doložené Zhotovitelem v rámci zadávacího řízení je v </w:t>
      </w:r>
      <w:r>
        <w:rPr>
          <w:rFonts w:ascii="Verdana" w:hAnsi="Verdana"/>
          <w:sz w:val="18"/>
          <w:szCs w:val="18"/>
          <w:highlight w:val="green"/>
        </w:rPr>
        <w:t>souladu s </w:t>
      </w:r>
      <w:r w:rsidRPr="00461E4B">
        <w:rPr>
          <w:rFonts w:ascii="Verdana" w:hAnsi="Verdana"/>
          <w:sz w:val="18"/>
          <w:szCs w:val="18"/>
          <w:highlight w:val="green"/>
        </w:rPr>
        <w:t>národním standardem pro elektronické systémy spisové služby součástí této Smlouvy v podobě samostatné digitální komponenty.</w:t>
      </w:r>
    </w:p>
    <w:p w14:paraId="66FA60E3" w14:textId="431844C7" w:rsidR="00015D67" w:rsidRDefault="00015D67" w:rsidP="003D0713">
      <w:pPr>
        <w:pStyle w:val="Textbezodsazen"/>
        <w:rPr>
          <w:highlight w:val="yellow"/>
        </w:rPr>
      </w:pPr>
    </w:p>
    <w:sectPr w:rsidR="00015D6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F31B8" w14:textId="77777777" w:rsidR="006A4A8E" w:rsidRDefault="006A4A8E" w:rsidP="00962258">
      <w:pPr>
        <w:spacing w:after="0" w:line="240" w:lineRule="auto"/>
      </w:pPr>
      <w:r>
        <w:separator/>
      </w:r>
    </w:p>
  </w:endnote>
  <w:endnote w:type="continuationSeparator" w:id="0">
    <w:p w14:paraId="12BD76AE" w14:textId="77777777" w:rsidR="006A4A8E" w:rsidRDefault="006A4A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07D7F2C1"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0B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7C5A2" w14:textId="10D33E10" w:rsidR="00C2296B" w:rsidRDefault="00C2296B" w:rsidP="00385FE0">
    <w:pPr>
      <w:pStyle w:val="Zpat"/>
      <w:spacing w:line="200" w:lineRule="exact"/>
      <w:jc w:val="cente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noProof/>
        <w:color w:val="FF5200"/>
        <w:sz w:val="14"/>
      </w:rPr>
      <w:t>1</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B110B4">
      <w:rPr>
        <w:rFonts w:ascii="Verdana" w:eastAsia="Verdana" w:hAnsi="Verdana"/>
        <w:b/>
        <w:noProof/>
        <w:color w:val="FF5200"/>
        <w:sz w:val="14"/>
      </w:rPr>
      <w:t>1</w:t>
    </w:r>
    <w:r>
      <w:rPr>
        <w:rFonts w:ascii="Verdana" w:eastAsia="Verdana" w:hAnsi="Verdana"/>
        <w:b/>
        <w:color w:val="FF5200"/>
        <w:sz w:val="14"/>
      </w:rPr>
      <w:fldChar w:fldCharType="end"/>
    </w:r>
  </w:p>
  <w:p w14:paraId="2A55CC4B" w14:textId="77777777" w:rsidR="00C2296B" w:rsidRDefault="00C2296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719447A8"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0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2CDC178E"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0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6C886C79"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0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6DD0D1C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0B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45795" w:rsidRDefault="00A45795" w:rsidP="005A7872">
          <w:pPr>
            <w:pStyle w:val="Zpat"/>
          </w:pPr>
        </w:p>
      </w:tc>
      <w:tc>
        <w:tcPr>
          <w:tcW w:w="425" w:type="dxa"/>
          <w:shd w:val="clear" w:color="auto" w:fill="auto"/>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3DDC5BC5"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0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1C3EF" w14:textId="77777777" w:rsidR="006A4A8E" w:rsidRDefault="006A4A8E" w:rsidP="00962258">
      <w:pPr>
        <w:spacing w:after="0" w:line="240" w:lineRule="auto"/>
      </w:pPr>
      <w:r>
        <w:separator/>
      </w:r>
    </w:p>
  </w:footnote>
  <w:footnote w:type="continuationSeparator" w:id="0">
    <w:p w14:paraId="68390765" w14:textId="77777777" w:rsidR="006A4A8E" w:rsidRDefault="006A4A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07D3E" w14:textId="77777777" w:rsidR="00C2296B" w:rsidRDefault="00C2296B">
    <w:pPr>
      <w:pStyle w:val="Zhlav"/>
    </w:pPr>
    <w:r>
      <w:rPr>
        <w:noProof/>
        <w:lang w:eastAsia="cs-CZ"/>
      </w:rPr>
      <w:drawing>
        <wp:anchor distT="0" distB="0" distL="114300" distR="114300" simplePos="0" relativeHeight="251672576" behindDoc="0" locked="1" layoutInCell="1" allowOverlap="1" wp14:anchorId="4B009508" wp14:editId="70623409">
          <wp:simplePos x="0" y="0"/>
          <wp:positionH relativeFrom="page">
            <wp:posOffset>270510</wp:posOffset>
          </wp:positionH>
          <wp:positionV relativeFrom="page">
            <wp:posOffset>160655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BB58FE"/>
    <w:multiLevelType w:val="hybridMultilevel"/>
    <w:tmpl w:val="E5B6077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2753337">
    <w:abstractNumId w:val="5"/>
  </w:num>
  <w:num w:numId="2" w16cid:durableId="861864081">
    <w:abstractNumId w:val="1"/>
  </w:num>
  <w:num w:numId="3" w16cid:durableId="1642802629">
    <w:abstractNumId w:val="25"/>
  </w:num>
  <w:num w:numId="4" w16cid:durableId="2101025961">
    <w:abstractNumId w:val="10"/>
  </w:num>
  <w:num w:numId="5" w16cid:durableId="943730114">
    <w:abstractNumId w:val="12"/>
  </w:num>
  <w:num w:numId="6" w16cid:durableId="1848901837">
    <w:abstractNumId w:val="22"/>
  </w:num>
  <w:num w:numId="7" w16cid:durableId="1277444200">
    <w:abstractNumId w:val="23"/>
  </w:num>
  <w:num w:numId="8" w16cid:durableId="2133749113">
    <w:abstractNumId w:val="0"/>
  </w:num>
  <w:num w:numId="9" w16cid:durableId="1391343893">
    <w:abstractNumId w:val="4"/>
  </w:num>
  <w:num w:numId="10" w16cid:durableId="1198617224">
    <w:abstractNumId w:val="26"/>
  </w:num>
  <w:num w:numId="11" w16cid:durableId="501312524">
    <w:abstractNumId w:val="13"/>
  </w:num>
  <w:num w:numId="12" w16cid:durableId="15718467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18085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3329729">
    <w:abstractNumId w:val="17"/>
  </w:num>
  <w:num w:numId="15" w16cid:durableId="1639607428">
    <w:abstractNumId w:val="20"/>
  </w:num>
  <w:num w:numId="16" w16cid:durableId="62217275">
    <w:abstractNumId w:val="27"/>
  </w:num>
  <w:num w:numId="17" w16cid:durableId="179249018">
    <w:abstractNumId w:val="3"/>
  </w:num>
  <w:num w:numId="18" w16cid:durableId="17735462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39132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3976519">
    <w:abstractNumId w:val="24"/>
  </w:num>
  <w:num w:numId="21" w16cid:durableId="8332993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9803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64995398">
    <w:abstractNumId w:val="21"/>
  </w:num>
  <w:num w:numId="24" w16cid:durableId="739253288">
    <w:abstractNumId w:val="8"/>
  </w:num>
  <w:num w:numId="25" w16cid:durableId="350304830">
    <w:abstractNumId w:val="16"/>
  </w:num>
  <w:num w:numId="26" w16cid:durableId="1405225663">
    <w:abstractNumId w:val="6"/>
  </w:num>
  <w:num w:numId="27" w16cid:durableId="14688188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5953330">
    <w:abstractNumId w:val="15"/>
  </w:num>
  <w:num w:numId="29" w16cid:durableId="791173388">
    <w:abstractNumId w:val="9"/>
  </w:num>
  <w:num w:numId="30" w16cid:durableId="394206600">
    <w:abstractNumId w:val="18"/>
  </w:num>
  <w:num w:numId="31" w16cid:durableId="3093605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37866416">
    <w:abstractNumId w:val="19"/>
  </w:num>
  <w:num w:numId="33" w16cid:durableId="698286633">
    <w:abstractNumId w:val="2"/>
  </w:num>
  <w:num w:numId="34" w16cid:durableId="367223714">
    <w:abstractNumId w:val="11"/>
  </w:num>
  <w:num w:numId="35" w16cid:durableId="1895769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98679124">
    <w:abstractNumId w:val="7"/>
  </w:num>
  <w:num w:numId="37" w16cid:durableId="1615600270">
    <w:abstractNumId w:val="14"/>
  </w:num>
  <w:num w:numId="38" w16cid:durableId="180170296">
    <w:abstractNumId w:val="22"/>
    <w:lvlOverride w:ilvl="0">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D3D"/>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D6A65"/>
    <w:rsid w:val="000E1A7F"/>
    <w:rsid w:val="00102D47"/>
    <w:rsid w:val="00106C7A"/>
    <w:rsid w:val="00112864"/>
    <w:rsid w:val="00114472"/>
    <w:rsid w:val="00114988"/>
    <w:rsid w:val="00115069"/>
    <w:rsid w:val="001150F2"/>
    <w:rsid w:val="001234EA"/>
    <w:rsid w:val="00123B77"/>
    <w:rsid w:val="00143EC0"/>
    <w:rsid w:val="00147FC0"/>
    <w:rsid w:val="001656A2"/>
    <w:rsid w:val="00165977"/>
    <w:rsid w:val="00170EC5"/>
    <w:rsid w:val="001747C1"/>
    <w:rsid w:val="00177D6B"/>
    <w:rsid w:val="001913F8"/>
    <w:rsid w:val="00191F90"/>
    <w:rsid w:val="001A4E40"/>
    <w:rsid w:val="001B4E74"/>
    <w:rsid w:val="001B7C08"/>
    <w:rsid w:val="001C2F27"/>
    <w:rsid w:val="001C3314"/>
    <w:rsid w:val="001C5D7C"/>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0DDA"/>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ACA"/>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20AF"/>
    <w:rsid w:val="003C33F2"/>
    <w:rsid w:val="003D0713"/>
    <w:rsid w:val="003D17F0"/>
    <w:rsid w:val="003D756E"/>
    <w:rsid w:val="003E420D"/>
    <w:rsid w:val="003E4C13"/>
    <w:rsid w:val="003F08E7"/>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738F1"/>
    <w:rsid w:val="00483969"/>
    <w:rsid w:val="00485CE8"/>
    <w:rsid w:val="00486107"/>
    <w:rsid w:val="004904BE"/>
    <w:rsid w:val="00491827"/>
    <w:rsid w:val="004A0091"/>
    <w:rsid w:val="004B3F4F"/>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93150"/>
    <w:rsid w:val="006A347D"/>
    <w:rsid w:val="006A4A8E"/>
    <w:rsid w:val="006A5570"/>
    <w:rsid w:val="006A689C"/>
    <w:rsid w:val="006B3D79"/>
    <w:rsid w:val="006B6FE4"/>
    <w:rsid w:val="006C0BB6"/>
    <w:rsid w:val="006C2343"/>
    <w:rsid w:val="006C442A"/>
    <w:rsid w:val="006C490F"/>
    <w:rsid w:val="006C72E8"/>
    <w:rsid w:val="006D3D66"/>
    <w:rsid w:val="006E0578"/>
    <w:rsid w:val="006E314D"/>
    <w:rsid w:val="006F6ABD"/>
    <w:rsid w:val="00703BB1"/>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2BA6"/>
    <w:rsid w:val="008232B1"/>
    <w:rsid w:val="00826B7B"/>
    <w:rsid w:val="00835A97"/>
    <w:rsid w:val="00846789"/>
    <w:rsid w:val="00866994"/>
    <w:rsid w:val="00884F59"/>
    <w:rsid w:val="008A20E0"/>
    <w:rsid w:val="008A3568"/>
    <w:rsid w:val="008A779C"/>
    <w:rsid w:val="008B46D2"/>
    <w:rsid w:val="008C50F3"/>
    <w:rsid w:val="008C68A7"/>
    <w:rsid w:val="008C7EFE"/>
    <w:rsid w:val="008D03B9"/>
    <w:rsid w:val="008D0757"/>
    <w:rsid w:val="008D30C7"/>
    <w:rsid w:val="008E399A"/>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76934"/>
    <w:rsid w:val="00985317"/>
    <w:rsid w:val="00992D9C"/>
    <w:rsid w:val="009937BC"/>
    <w:rsid w:val="00993875"/>
    <w:rsid w:val="00996CB8"/>
    <w:rsid w:val="00996D3D"/>
    <w:rsid w:val="00997FAB"/>
    <w:rsid w:val="009A27DA"/>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2F03"/>
    <w:rsid w:val="00A45795"/>
    <w:rsid w:val="00A50641"/>
    <w:rsid w:val="00A530BF"/>
    <w:rsid w:val="00A549A0"/>
    <w:rsid w:val="00A55084"/>
    <w:rsid w:val="00A56520"/>
    <w:rsid w:val="00A57266"/>
    <w:rsid w:val="00A6146E"/>
    <w:rsid w:val="00A6177B"/>
    <w:rsid w:val="00A62A0C"/>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3E60"/>
    <w:rsid w:val="00AF57C0"/>
    <w:rsid w:val="00B008D5"/>
    <w:rsid w:val="00B02F73"/>
    <w:rsid w:val="00B05B31"/>
    <w:rsid w:val="00B0619F"/>
    <w:rsid w:val="00B110B4"/>
    <w:rsid w:val="00B13A26"/>
    <w:rsid w:val="00B15D0D"/>
    <w:rsid w:val="00B2195F"/>
    <w:rsid w:val="00B22106"/>
    <w:rsid w:val="00B26EBE"/>
    <w:rsid w:val="00B309E3"/>
    <w:rsid w:val="00B3396C"/>
    <w:rsid w:val="00B42F40"/>
    <w:rsid w:val="00B4650A"/>
    <w:rsid w:val="00B5431A"/>
    <w:rsid w:val="00B5578F"/>
    <w:rsid w:val="00B56A08"/>
    <w:rsid w:val="00B70CD6"/>
    <w:rsid w:val="00B75EE1"/>
    <w:rsid w:val="00B77481"/>
    <w:rsid w:val="00B81CE7"/>
    <w:rsid w:val="00B84ECC"/>
    <w:rsid w:val="00B8518B"/>
    <w:rsid w:val="00B955DF"/>
    <w:rsid w:val="00B96A88"/>
    <w:rsid w:val="00B97513"/>
    <w:rsid w:val="00B97CC3"/>
    <w:rsid w:val="00BB103E"/>
    <w:rsid w:val="00BB2903"/>
    <w:rsid w:val="00BC06C4"/>
    <w:rsid w:val="00BC1574"/>
    <w:rsid w:val="00BC15C4"/>
    <w:rsid w:val="00BC2DB6"/>
    <w:rsid w:val="00BD1C46"/>
    <w:rsid w:val="00BD7E91"/>
    <w:rsid w:val="00BD7F0D"/>
    <w:rsid w:val="00BE2E15"/>
    <w:rsid w:val="00BE65BB"/>
    <w:rsid w:val="00BE7F36"/>
    <w:rsid w:val="00BF596C"/>
    <w:rsid w:val="00C02D0A"/>
    <w:rsid w:val="00C03A6E"/>
    <w:rsid w:val="00C1242D"/>
    <w:rsid w:val="00C175F5"/>
    <w:rsid w:val="00C2029D"/>
    <w:rsid w:val="00C226C0"/>
    <w:rsid w:val="00C2296B"/>
    <w:rsid w:val="00C26A57"/>
    <w:rsid w:val="00C317F4"/>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CD6156"/>
    <w:rsid w:val="00D034A0"/>
    <w:rsid w:val="00D1366C"/>
    <w:rsid w:val="00D16C9D"/>
    <w:rsid w:val="00D21061"/>
    <w:rsid w:val="00D31D3E"/>
    <w:rsid w:val="00D32554"/>
    <w:rsid w:val="00D37786"/>
    <w:rsid w:val="00D40999"/>
    <w:rsid w:val="00D4108E"/>
    <w:rsid w:val="00D41682"/>
    <w:rsid w:val="00D4328E"/>
    <w:rsid w:val="00D476D4"/>
    <w:rsid w:val="00D6163D"/>
    <w:rsid w:val="00D65011"/>
    <w:rsid w:val="00D65B4A"/>
    <w:rsid w:val="00D831A3"/>
    <w:rsid w:val="00D97BE3"/>
    <w:rsid w:val="00DA3711"/>
    <w:rsid w:val="00DA48EC"/>
    <w:rsid w:val="00DA5B8D"/>
    <w:rsid w:val="00DA6644"/>
    <w:rsid w:val="00DB4F25"/>
    <w:rsid w:val="00DD46F3"/>
    <w:rsid w:val="00DE391E"/>
    <w:rsid w:val="00DE56F2"/>
    <w:rsid w:val="00DE7E0F"/>
    <w:rsid w:val="00DF09C8"/>
    <w:rsid w:val="00DF116D"/>
    <w:rsid w:val="00E123E4"/>
    <w:rsid w:val="00E15F61"/>
    <w:rsid w:val="00E16FF7"/>
    <w:rsid w:val="00E26D68"/>
    <w:rsid w:val="00E44045"/>
    <w:rsid w:val="00E463D2"/>
    <w:rsid w:val="00E519F6"/>
    <w:rsid w:val="00E5542B"/>
    <w:rsid w:val="00E618C4"/>
    <w:rsid w:val="00E70DF3"/>
    <w:rsid w:val="00E7415D"/>
    <w:rsid w:val="00E878EE"/>
    <w:rsid w:val="00E901A3"/>
    <w:rsid w:val="00E953EB"/>
    <w:rsid w:val="00EA00DB"/>
    <w:rsid w:val="00EA13DA"/>
    <w:rsid w:val="00EA32A6"/>
    <w:rsid w:val="00EA585B"/>
    <w:rsid w:val="00EA6EC7"/>
    <w:rsid w:val="00EB104F"/>
    <w:rsid w:val="00EB46E5"/>
    <w:rsid w:val="00EB6C0E"/>
    <w:rsid w:val="00ED14BD"/>
    <w:rsid w:val="00ED29F1"/>
    <w:rsid w:val="00ED6359"/>
    <w:rsid w:val="00EE1EF1"/>
    <w:rsid w:val="00F016C7"/>
    <w:rsid w:val="00F05B85"/>
    <w:rsid w:val="00F10E63"/>
    <w:rsid w:val="00F12DEC"/>
    <w:rsid w:val="00F1715C"/>
    <w:rsid w:val="00F24489"/>
    <w:rsid w:val="00F25F4A"/>
    <w:rsid w:val="00F30E1C"/>
    <w:rsid w:val="00F310F8"/>
    <w:rsid w:val="00F35939"/>
    <w:rsid w:val="00F422D3"/>
    <w:rsid w:val="00F45607"/>
    <w:rsid w:val="00F4722B"/>
    <w:rsid w:val="00F54432"/>
    <w:rsid w:val="00F649FF"/>
    <w:rsid w:val="00F659EB"/>
    <w:rsid w:val="00F762A8"/>
    <w:rsid w:val="00F86BA6"/>
    <w:rsid w:val="00F919C9"/>
    <w:rsid w:val="00F95FBD"/>
    <w:rsid w:val="00FA1198"/>
    <w:rsid w:val="00FA793F"/>
    <w:rsid w:val="00FB0D7B"/>
    <w:rsid w:val="00FB3C00"/>
    <w:rsid w:val="00FB6342"/>
    <w:rsid w:val="00FC42D4"/>
    <w:rsid w:val="00FC6389"/>
    <w:rsid w:val="00FD43DE"/>
    <w:rsid w:val="00FD6C7B"/>
    <w:rsid w:val="00FE5B05"/>
    <w:rsid w:val="00FE6AEC"/>
    <w:rsid w:val="00FF10EC"/>
    <w:rsid w:val="00FF67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Style6">
    <w:name w:val="Style6"/>
    <w:basedOn w:val="Normln"/>
    <w:uiPriority w:val="99"/>
    <w:rsid w:val="006F6ABD"/>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customXml/itemProps2.xml><?xml version="1.0" encoding="utf-8"?>
<ds:datastoreItem xmlns:ds="http://schemas.openxmlformats.org/officeDocument/2006/customXml" ds:itemID="{EDFF82E4-ECD8-483C-A59A-F97E2D0A5C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7DBFA5-648D-4368-B5F5-DA655B53DCD5}">
  <ds:schemaRefs>
    <ds:schemaRef ds:uri="http://schemas.microsoft.com/sharepoint/v3/contenttype/forms"/>
  </ds:schemaRefs>
</ds:datastoreItem>
</file>

<file path=customXml/itemProps4.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5297</Words>
  <Characters>31253</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2023-11-16T12:17:00Z</dcterms:created>
  <dcterms:modified xsi:type="dcterms:W3CDTF">2023-11-22T09:19:00Z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